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22960" w14:textId="5AF6A3FA" w:rsidR="00712B79" w:rsidRPr="00D268A4" w:rsidRDefault="00D268A4" w:rsidP="00D268A4">
      <w:pPr>
        <w:spacing w:line="240" w:lineRule="auto"/>
        <w:jc w:val="center"/>
        <w:rPr>
          <w:rFonts w:ascii="Garamond" w:hAnsi="Garamond"/>
          <w:b/>
          <w:bCs/>
          <w:sz w:val="22"/>
          <w:szCs w:val="22"/>
          <w:lang w:val="es-ES_tradnl"/>
        </w:rPr>
      </w:pPr>
      <w:r w:rsidRPr="00D268A4">
        <w:rPr>
          <w:rFonts w:ascii="Garamond" w:hAnsi="Garamond"/>
          <w:b/>
          <w:bCs/>
          <w:sz w:val="22"/>
          <w:szCs w:val="22"/>
          <w:lang w:val="es-ES_tradnl"/>
        </w:rPr>
        <w:t xml:space="preserve">JUSTIFICACIÓN TÉCNICA Y FINANCIERA </w:t>
      </w:r>
    </w:p>
    <w:p w14:paraId="12643A6A" w14:textId="40D0A49B" w:rsidR="00D268A4" w:rsidRPr="00D268A4" w:rsidRDefault="00D268A4" w:rsidP="00D268A4">
      <w:pPr>
        <w:spacing w:line="240" w:lineRule="auto"/>
        <w:jc w:val="center"/>
        <w:rPr>
          <w:rFonts w:ascii="Garamond" w:hAnsi="Garamond"/>
          <w:b/>
          <w:bCs/>
          <w:sz w:val="22"/>
          <w:szCs w:val="22"/>
          <w:lang w:val="es-ES_tradnl"/>
        </w:rPr>
      </w:pPr>
      <w:r w:rsidRPr="00D268A4">
        <w:rPr>
          <w:rFonts w:ascii="Garamond" w:hAnsi="Garamond"/>
          <w:b/>
          <w:bCs/>
          <w:sz w:val="22"/>
          <w:szCs w:val="22"/>
          <w:lang w:val="es-ES_tradnl"/>
        </w:rPr>
        <w:t>VIGENCIAS FUTURAS 2026 – 2027 PARA EL CUMPLIMIENTO DE LA META DE «</w:t>
      </w:r>
      <w:r w:rsidRPr="00D268A4">
        <w:rPr>
          <w:rFonts w:ascii="Garamond" w:hAnsi="Garamond"/>
          <w:b/>
          <w:bCs/>
          <w:i/>
          <w:iCs/>
          <w:sz w:val="22"/>
          <w:szCs w:val="22"/>
          <w:lang w:val="es-ES_tradnl"/>
        </w:rPr>
        <w:t>EDUDACIÓN QUE GENERA OPORTUNIDADES</w:t>
      </w:r>
      <w:r w:rsidRPr="00D268A4">
        <w:rPr>
          <w:rFonts w:ascii="Garamond" w:hAnsi="Garamond"/>
          <w:b/>
          <w:bCs/>
          <w:sz w:val="22"/>
          <w:szCs w:val="22"/>
          <w:lang w:val="es-ES_tradnl"/>
        </w:rPr>
        <w:t>»</w:t>
      </w:r>
    </w:p>
    <w:p w14:paraId="53C26601" w14:textId="3EAA54DC" w:rsidR="00D268A4" w:rsidRPr="00D268A4" w:rsidRDefault="00D268A4" w:rsidP="00D268A4">
      <w:pPr>
        <w:spacing w:line="240" w:lineRule="auto"/>
        <w:jc w:val="center"/>
        <w:rPr>
          <w:rFonts w:ascii="Garamond" w:hAnsi="Garamond"/>
          <w:b/>
          <w:bCs/>
          <w:sz w:val="22"/>
          <w:szCs w:val="22"/>
          <w:lang w:val="es-ES_tradnl"/>
        </w:rPr>
      </w:pPr>
      <w:r w:rsidRPr="00D268A4">
        <w:rPr>
          <w:rFonts w:ascii="Garamond" w:hAnsi="Garamond"/>
          <w:b/>
          <w:bCs/>
          <w:sz w:val="22"/>
          <w:szCs w:val="22"/>
          <w:lang w:val="es-ES_tradnl"/>
        </w:rPr>
        <w:t>FONDO DE DESARROLLO LOCAL DE SAN CRISTÓBAL</w:t>
      </w:r>
    </w:p>
    <w:p w14:paraId="06CDBB0C" w14:textId="44F1BD37" w:rsidR="00E04D4C" w:rsidRPr="00E04D4C" w:rsidRDefault="00E04D4C" w:rsidP="00E04D4C">
      <w:pPr>
        <w:pStyle w:val="Prrafodelista"/>
        <w:numPr>
          <w:ilvl w:val="0"/>
          <w:numId w:val="3"/>
        </w:numPr>
        <w:spacing w:line="240" w:lineRule="auto"/>
        <w:jc w:val="both"/>
        <w:rPr>
          <w:rFonts w:ascii="Garamond" w:hAnsi="Garamond"/>
          <w:b/>
          <w:bCs/>
          <w:sz w:val="22"/>
          <w:szCs w:val="22"/>
          <w:lang w:val="es-ES_tradnl"/>
        </w:rPr>
      </w:pPr>
      <w:r w:rsidRPr="00E04D4C">
        <w:rPr>
          <w:rFonts w:ascii="Garamond" w:hAnsi="Garamond"/>
          <w:b/>
          <w:bCs/>
          <w:sz w:val="22"/>
          <w:szCs w:val="22"/>
          <w:lang w:val="es-ES_tradnl"/>
        </w:rPr>
        <w:t xml:space="preserve">Objeto y alcance. </w:t>
      </w:r>
    </w:p>
    <w:p w14:paraId="508B44A6" w14:textId="77D378C9" w:rsid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De conformidad con el Artículo 15 del Acuerdo Distrital 637 de 2016</w:t>
      </w:r>
      <w:r>
        <w:rPr>
          <w:rFonts w:ascii="Garamond" w:hAnsi="Garamond"/>
          <w:sz w:val="22"/>
          <w:szCs w:val="22"/>
          <w:lang w:val="es-ES_tradnl"/>
        </w:rPr>
        <w:t>,</w:t>
      </w:r>
      <w:r w:rsidRPr="00D268A4">
        <w:rPr>
          <w:rFonts w:ascii="Garamond" w:hAnsi="Garamond"/>
          <w:sz w:val="22"/>
          <w:szCs w:val="22"/>
          <w:lang w:val="es-ES_tradnl"/>
        </w:rPr>
        <w:t xml:space="preserve"> el cual modifica el artículo 52 del Acuerdo Distrital 257 de 2006, que a su tenor literal nos indica</w:t>
      </w:r>
      <w:r>
        <w:rPr>
          <w:rFonts w:ascii="Garamond" w:hAnsi="Garamond"/>
          <w:sz w:val="22"/>
          <w:szCs w:val="22"/>
          <w:lang w:val="es-ES_tradnl"/>
        </w:rPr>
        <w:t>:</w:t>
      </w:r>
    </w:p>
    <w:p w14:paraId="37EF45AE" w14:textId="6A6F7292" w:rsidR="00D268A4" w:rsidRPr="00D268A4" w:rsidRDefault="00D268A4" w:rsidP="00D268A4">
      <w:pPr>
        <w:spacing w:line="240" w:lineRule="auto"/>
        <w:ind w:left="1440"/>
        <w:jc w:val="both"/>
        <w:rPr>
          <w:rFonts w:ascii="Garamond" w:hAnsi="Garamond"/>
          <w:i/>
          <w:iCs/>
          <w:sz w:val="22"/>
          <w:szCs w:val="22"/>
          <w:lang w:val="es-ES_tradnl"/>
        </w:rPr>
      </w:pPr>
      <w:r w:rsidRPr="00D268A4">
        <w:rPr>
          <w:rFonts w:ascii="Garamond" w:hAnsi="Garamond"/>
          <w:i/>
          <w:iCs/>
          <w:sz w:val="20"/>
          <w:szCs w:val="20"/>
          <w:lang w:val="es-ES_tradnl"/>
        </w:rPr>
        <w:t xml:space="preserve">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770FCB1D" w14:textId="77777777" w:rsid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Es así como la Alcaldía Local tiene como misión</w:t>
      </w:r>
      <w:r>
        <w:rPr>
          <w:rFonts w:ascii="Garamond" w:hAnsi="Garamond"/>
          <w:sz w:val="22"/>
          <w:szCs w:val="22"/>
          <w:lang w:val="es-ES_tradnl"/>
        </w:rPr>
        <w:t>:</w:t>
      </w:r>
    </w:p>
    <w:p w14:paraId="7150ED0A" w14:textId="4E4FFCB9" w:rsidR="00D268A4" w:rsidRPr="00D268A4" w:rsidRDefault="00D268A4" w:rsidP="00D268A4">
      <w:pPr>
        <w:spacing w:line="240" w:lineRule="auto"/>
        <w:ind w:left="1440"/>
        <w:jc w:val="both"/>
        <w:rPr>
          <w:rFonts w:ascii="Garamond" w:hAnsi="Garamond"/>
          <w:i/>
          <w:iCs/>
          <w:sz w:val="20"/>
          <w:szCs w:val="20"/>
          <w:lang w:val="es-ES_tradnl"/>
        </w:rPr>
      </w:pPr>
      <w:r w:rsidRPr="00D268A4">
        <w:rPr>
          <w:rFonts w:ascii="Garamond" w:hAnsi="Garamond"/>
          <w:i/>
          <w:iCs/>
          <w:sz w:val="20"/>
          <w:szCs w:val="20"/>
          <w:lang w:val="es-ES_tradnl"/>
        </w:rPr>
        <w:t xml:space="preserve">«[…] ser una dependencia de la Secretaría Distrital de Gobierno responsable de apoyar la ejecución de las competencias asignadas a los </w:t>
      </w:r>
      <w:proofErr w:type="gramStart"/>
      <w:r w:rsidRPr="00D268A4">
        <w:rPr>
          <w:rFonts w:ascii="Garamond" w:hAnsi="Garamond"/>
          <w:i/>
          <w:iCs/>
          <w:sz w:val="20"/>
          <w:szCs w:val="20"/>
          <w:lang w:val="es-ES_tradnl"/>
        </w:rPr>
        <w:t>Alcaldes</w:t>
      </w:r>
      <w:proofErr w:type="gramEnd"/>
      <w:r w:rsidRPr="00D268A4">
        <w:rPr>
          <w:rFonts w:ascii="Garamond" w:hAnsi="Garamond"/>
          <w:i/>
          <w:iCs/>
          <w:sz w:val="20"/>
          <w:szCs w:val="20"/>
          <w:lang w:val="es-ES_tradnl"/>
        </w:rPr>
        <w:t xml:space="preserve"> o </w:t>
      </w:r>
      <w:proofErr w:type="gramStart"/>
      <w:r w:rsidRPr="00D268A4">
        <w:rPr>
          <w:rFonts w:ascii="Garamond" w:hAnsi="Garamond"/>
          <w:i/>
          <w:iCs/>
          <w:sz w:val="20"/>
          <w:szCs w:val="20"/>
          <w:lang w:val="es-ES_tradnl"/>
        </w:rPr>
        <w:t>Alcaldesas</w:t>
      </w:r>
      <w:proofErr w:type="gramEnd"/>
      <w:r w:rsidRPr="00D268A4">
        <w:rPr>
          <w:rFonts w:ascii="Garamond" w:hAnsi="Garamond"/>
          <w:i/>
          <w:iCs/>
          <w:sz w:val="20"/>
          <w:szCs w:val="20"/>
          <w:lang w:val="es-ES_tradnl"/>
        </w:rPr>
        <w:t xml:space="preserve">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48A287C0" w14:textId="77777777"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Que, adicionalmente, el Decreto Distrital 101 de 2010, aclarado mediante el Decreto 153 del mismo año, precisó las delegaciones y asignaciones conferidas a los alcaldes y alcaldesas locales, quienes, en ejercicio de dichas funciones, deben observar no solo las disposiciones legales que regulan la actividad contractual, sino también los principios constitucionales y legales que rigen la función administrativa, tales como la buena fe, la igualdad, la moralidad, la eficacia, la eficiencia, la economía, la celeridad, la imparcialidad, la participación, la publicidad, la transparencia, la responsabilidad y la selección objetiva, entre otros.</w:t>
      </w:r>
    </w:p>
    <w:p w14:paraId="1E3EB8FA" w14:textId="77777777"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Dentro de las funciones básicas de la Secretaría Distrital de Gobierno se encuentra: liderar, orientar y coordinar la formulación, adopción y ejecución de políticas, planes programas y proyectos necesarios para el mejoramiento de la gestión pública local y la consolidación de los procesos de la gobernabilidad local.</w:t>
      </w:r>
    </w:p>
    <w:p w14:paraId="674B1BB2" w14:textId="02171D02"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 xml:space="preserve">El objetivo del Plan Distrital de Desarrollo, </w:t>
      </w:r>
      <w:r>
        <w:rPr>
          <w:rFonts w:ascii="Garamond" w:hAnsi="Garamond"/>
          <w:sz w:val="22"/>
          <w:szCs w:val="22"/>
          <w:lang w:val="es-ES_tradnl"/>
        </w:rPr>
        <w:t>«</w:t>
      </w:r>
      <w:r w:rsidRPr="00D268A4">
        <w:rPr>
          <w:rFonts w:ascii="Garamond" w:hAnsi="Garamond"/>
          <w:i/>
          <w:iCs/>
          <w:sz w:val="22"/>
          <w:szCs w:val="22"/>
          <w:lang w:val="es-ES_tradnl"/>
        </w:rPr>
        <w:t>Bogotá Camina Segura, 2024-2027</w:t>
      </w:r>
      <w:r>
        <w:rPr>
          <w:rFonts w:ascii="Garamond" w:hAnsi="Garamond"/>
          <w:sz w:val="22"/>
          <w:szCs w:val="22"/>
          <w:lang w:val="es-ES_tradnl"/>
        </w:rPr>
        <w:t>»</w:t>
      </w:r>
      <w:r w:rsidRPr="00D268A4">
        <w:rPr>
          <w:rFonts w:ascii="Garamond" w:hAnsi="Garamond"/>
          <w:sz w:val="22"/>
          <w:szCs w:val="22"/>
          <w:lang w:val="es-ES_tradnl"/>
        </w:rPr>
        <w:t>, es la hoja de ruta que seguirá la Alcaldía Mayor de Bogotá para cumplir con los propósitos que se ha trazado para la ciudad y que están consignados en el Programa de Gobierno. Este documento está expresado en términos de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47726371" w14:textId="77777777"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Que, de conformidad con el artículo 11 del mismo Acuerdo Distrital 740 de 2019, reglamentado mediante el Decreto Distrital 374 de 2019, el Alcalde Mayor de Bogotá delegó en los alcaldes y alcaldesas locales, entre ellos el Alcalde Local de San Cristóbal, la facultad para contratar, ordenar los gastos y realizar los pagos con cargo al presupuesto del respectivo Fondo de Desarrollo Local, en concordancia con las disposiciones que regulan las inversiones y los gastos efectuados con recursos públicos del mismo.</w:t>
      </w:r>
    </w:p>
    <w:p w14:paraId="0A5DAF7C" w14:textId="62F9860A"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Por su parte</w:t>
      </w:r>
      <w:r>
        <w:rPr>
          <w:rFonts w:ascii="Garamond" w:hAnsi="Garamond"/>
          <w:sz w:val="22"/>
          <w:szCs w:val="22"/>
          <w:lang w:val="es-ES_tradnl"/>
        </w:rPr>
        <w:t>,</w:t>
      </w:r>
      <w:r w:rsidRPr="00D268A4">
        <w:rPr>
          <w:rFonts w:ascii="Garamond" w:hAnsi="Garamond"/>
          <w:sz w:val="22"/>
          <w:szCs w:val="22"/>
          <w:lang w:val="es-ES_tradnl"/>
        </w:rPr>
        <w:t xml:space="preserve"> el Decreto 768 de 2019</w:t>
      </w:r>
      <w:r>
        <w:rPr>
          <w:rFonts w:ascii="Garamond" w:hAnsi="Garamond"/>
          <w:sz w:val="22"/>
          <w:szCs w:val="22"/>
          <w:lang w:val="es-ES_tradnl"/>
        </w:rPr>
        <w:t>,</w:t>
      </w:r>
      <w:r w:rsidRPr="00D268A4">
        <w:rPr>
          <w:rFonts w:ascii="Garamond" w:hAnsi="Garamond"/>
          <w:sz w:val="22"/>
          <w:szCs w:val="22"/>
          <w:lang w:val="es-ES_tradnl"/>
        </w:rPr>
        <w:t xml:space="preserve"> </w:t>
      </w:r>
      <w:r>
        <w:rPr>
          <w:rFonts w:ascii="Garamond" w:hAnsi="Garamond"/>
          <w:sz w:val="22"/>
          <w:szCs w:val="22"/>
          <w:lang w:val="es-ES_tradnl"/>
        </w:rPr>
        <w:t>«</w:t>
      </w:r>
      <w:r w:rsidRPr="00D268A4">
        <w:rPr>
          <w:rFonts w:ascii="Garamond" w:hAnsi="Garamond"/>
          <w:i/>
          <w:iCs/>
          <w:sz w:val="22"/>
          <w:szCs w:val="22"/>
          <w:lang w:val="es-ES_tradnl"/>
        </w:rPr>
        <w:t>Por el medio del cual se reglamenta el Acuerdo 740 de 2019 y se dictan otras disposiciones</w:t>
      </w:r>
      <w:r>
        <w:rPr>
          <w:rFonts w:ascii="Garamond" w:hAnsi="Garamond"/>
          <w:sz w:val="22"/>
          <w:szCs w:val="22"/>
          <w:lang w:val="es-ES_tradnl"/>
        </w:rPr>
        <w:t>»,</w:t>
      </w:r>
      <w:r w:rsidRPr="00D268A4">
        <w:rPr>
          <w:rFonts w:ascii="Garamond" w:hAnsi="Garamond"/>
          <w:sz w:val="22"/>
          <w:szCs w:val="22"/>
          <w:lang w:val="es-ES_tradnl"/>
        </w:rPr>
        <w:t xml:space="preserve"> establece que la Alcaldía Local es la responsable de formular, ejecutar y hacer el seguimiento a los proyectos de inversión en el marco del Plan de Desarrollo Local con cargo a los respectivos Fondos de Desarrollo Local, a través de la elaboración y ejecución del presupuesto, la gestión de proyectos de inversión y procesos contractuales, así como la ordenación de gastos y pagos y la administración de bienes propiedad del Fondo.</w:t>
      </w:r>
    </w:p>
    <w:p w14:paraId="4721DBD2" w14:textId="77777777" w:rsidR="00D268A4" w:rsidRPr="00D268A4" w:rsidRDefault="00D268A4" w:rsidP="00D268A4">
      <w:pPr>
        <w:spacing w:line="240" w:lineRule="auto"/>
        <w:jc w:val="both"/>
        <w:rPr>
          <w:rFonts w:ascii="Garamond" w:hAnsi="Garamond"/>
          <w:sz w:val="22"/>
          <w:szCs w:val="22"/>
          <w:lang w:val="es-ES_tradnl"/>
        </w:rPr>
      </w:pPr>
    </w:p>
    <w:p w14:paraId="78FAF4D5" w14:textId="77777777" w:rsidR="00D268A4" w:rsidRPr="00D268A4" w:rsidRDefault="00D268A4" w:rsidP="00D268A4">
      <w:pPr>
        <w:spacing w:line="240" w:lineRule="auto"/>
        <w:jc w:val="both"/>
        <w:rPr>
          <w:rFonts w:ascii="Garamond" w:hAnsi="Garamond"/>
          <w:sz w:val="22"/>
          <w:szCs w:val="22"/>
          <w:lang w:val="es-ES_tradnl"/>
        </w:rPr>
      </w:pPr>
    </w:p>
    <w:p w14:paraId="4E8F7EA6" w14:textId="77777777" w:rsidR="00D268A4" w:rsidRPr="00D268A4" w:rsidRDefault="00D268A4" w:rsidP="00D268A4">
      <w:pPr>
        <w:spacing w:line="240" w:lineRule="auto"/>
        <w:jc w:val="both"/>
        <w:rPr>
          <w:rFonts w:ascii="Garamond" w:hAnsi="Garamond"/>
          <w:sz w:val="22"/>
          <w:szCs w:val="22"/>
          <w:lang w:val="es-ES_tradnl"/>
        </w:rPr>
      </w:pPr>
    </w:p>
    <w:p w14:paraId="71FA761A" w14:textId="77777777" w:rsidR="00D268A4" w:rsidRPr="00D268A4" w:rsidRDefault="00D268A4" w:rsidP="00D268A4">
      <w:pPr>
        <w:spacing w:line="240" w:lineRule="auto"/>
        <w:jc w:val="both"/>
        <w:rPr>
          <w:rFonts w:ascii="Garamond" w:hAnsi="Garamond"/>
          <w:sz w:val="22"/>
          <w:szCs w:val="22"/>
          <w:lang w:val="es-ES_tradnl"/>
        </w:rPr>
      </w:pPr>
    </w:p>
    <w:p w14:paraId="3091AE72" w14:textId="1F678FA8"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Que</w:t>
      </w:r>
      <w:r>
        <w:rPr>
          <w:rFonts w:ascii="Garamond" w:hAnsi="Garamond"/>
          <w:sz w:val="22"/>
          <w:szCs w:val="22"/>
          <w:lang w:val="es-ES_tradnl"/>
        </w:rPr>
        <w:t>,</w:t>
      </w:r>
      <w:r w:rsidRPr="00D268A4">
        <w:rPr>
          <w:rFonts w:ascii="Garamond" w:hAnsi="Garamond"/>
          <w:sz w:val="22"/>
          <w:szCs w:val="22"/>
          <w:lang w:val="es-ES_tradnl"/>
        </w:rPr>
        <w:t xml:space="preserve"> el Plan de Desarrollo Distrital</w:t>
      </w:r>
      <w:r>
        <w:rPr>
          <w:rFonts w:ascii="Garamond" w:hAnsi="Garamond"/>
          <w:sz w:val="22"/>
          <w:szCs w:val="22"/>
          <w:lang w:val="es-ES_tradnl"/>
        </w:rPr>
        <w:t>, «</w:t>
      </w:r>
      <w:r w:rsidRPr="00D268A4">
        <w:rPr>
          <w:rFonts w:ascii="Garamond" w:hAnsi="Garamond"/>
          <w:i/>
          <w:iCs/>
          <w:sz w:val="22"/>
          <w:szCs w:val="22"/>
          <w:lang w:val="es-ES_tradnl"/>
        </w:rPr>
        <w:t>Bogotá Camina Segura, 2024-2027</w:t>
      </w:r>
      <w:r>
        <w:rPr>
          <w:rFonts w:ascii="Garamond" w:hAnsi="Garamond"/>
          <w:sz w:val="22"/>
          <w:szCs w:val="22"/>
          <w:lang w:val="es-ES_tradnl"/>
        </w:rPr>
        <w:t>»</w:t>
      </w:r>
      <w:r w:rsidRPr="00D268A4">
        <w:rPr>
          <w:rFonts w:ascii="Garamond" w:hAnsi="Garamond"/>
          <w:sz w:val="22"/>
          <w:szCs w:val="22"/>
          <w:lang w:val="es-ES_tradnl"/>
        </w:rPr>
        <w:t xml:space="preserve">, como política pública referente de las acciones de la Administración Distrital en el cuatrienio que comprende desde julio 2024 hasta junio de 2027, contempla dentro del Acuerdo </w:t>
      </w:r>
      <w:proofErr w:type="spellStart"/>
      <w:r w:rsidRPr="00D268A4">
        <w:rPr>
          <w:rFonts w:ascii="Garamond" w:hAnsi="Garamond"/>
          <w:sz w:val="22"/>
          <w:szCs w:val="22"/>
          <w:lang w:val="es-ES_tradnl"/>
        </w:rPr>
        <w:t>Nº</w:t>
      </w:r>
      <w:proofErr w:type="spellEnd"/>
      <w:r w:rsidRPr="00D268A4">
        <w:rPr>
          <w:rFonts w:ascii="Garamond" w:hAnsi="Garamond"/>
          <w:sz w:val="22"/>
          <w:szCs w:val="22"/>
          <w:lang w:val="es-ES_tradnl"/>
        </w:rPr>
        <w:t xml:space="preserve"> 927 de 2024 el objetivo cuya directriz, está orientada a mejorar la calidad de vida de las personas garantizándoles el ejercicio pleno de sus derechos con mayor seguridad, inclusión, libertad e igualdad de oportunidades y un acceso más justo a los bienes y los servicios públicos; fortaleciendo el tejido social en un marco de construcción de confianza y colaboración, aprovechando el potencial de la sociedad y de su territorio a partir de un modelo de desarrollo comprometido con la acción climática y la integración regional. </w:t>
      </w:r>
    </w:p>
    <w:p w14:paraId="302BC823" w14:textId="77777777" w:rsidR="008A582B" w:rsidRPr="008A582B" w:rsidRDefault="008A582B" w:rsidP="008A582B">
      <w:pPr>
        <w:spacing w:line="240" w:lineRule="auto"/>
        <w:jc w:val="both"/>
        <w:rPr>
          <w:rFonts w:ascii="Garamond" w:hAnsi="Garamond"/>
          <w:sz w:val="22"/>
          <w:szCs w:val="22"/>
          <w:lang w:val="es-CO"/>
        </w:rPr>
      </w:pPr>
      <w:r w:rsidRPr="008A582B">
        <w:rPr>
          <w:rFonts w:ascii="Garamond" w:hAnsi="Garamond"/>
          <w:sz w:val="22"/>
          <w:szCs w:val="22"/>
          <w:lang w:val="es-CO"/>
        </w:rPr>
        <w:t>Que el Fondo de Desarrollo Local de San Cristóbal cuenta con el proyecto de inversión No. 2615, registrado en el Banco de Proyectos de Inversión del Distrito, denominado «Educación que genera oportunidades», cuyo propósito es promover el acceso a oportunidades educativas para los jóvenes residentes de la localidad.</w:t>
      </w:r>
    </w:p>
    <w:p w14:paraId="1AA9AA27" w14:textId="77777777" w:rsidR="008A582B" w:rsidRPr="008A582B" w:rsidRDefault="008A582B" w:rsidP="008A582B">
      <w:pPr>
        <w:spacing w:line="240" w:lineRule="auto"/>
        <w:jc w:val="both"/>
        <w:rPr>
          <w:rFonts w:ascii="Garamond" w:hAnsi="Garamond"/>
          <w:sz w:val="22"/>
          <w:szCs w:val="22"/>
          <w:lang w:val="es-CO"/>
        </w:rPr>
      </w:pPr>
      <w:r w:rsidRPr="008A582B">
        <w:rPr>
          <w:rFonts w:ascii="Garamond" w:hAnsi="Garamond"/>
          <w:sz w:val="22"/>
          <w:szCs w:val="22"/>
          <w:lang w:val="es-CO"/>
        </w:rPr>
        <w:t>Dicho proyecto contempla tres énfasis principales: (i) la dotación de sedes educativas, (</w:t>
      </w:r>
      <w:proofErr w:type="spellStart"/>
      <w:r w:rsidRPr="008A582B">
        <w:rPr>
          <w:rFonts w:ascii="Garamond" w:hAnsi="Garamond"/>
          <w:sz w:val="22"/>
          <w:szCs w:val="22"/>
          <w:lang w:val="es-CO"/>
        </w:rPr>
        <w:t>ii</w:t>
      </w:r>
      <w:proofErr w:type="spellEnd"/>
      <w:r w:rsidRPr="008A582B">
        <w:rPr>
          <w:rFonts w:ascii="Garamond" w:hAnsi="Garamond"/>
          <w:sz w:val="22"/>
          <w:szCs w:val="22"/>
          <w:lang w:val="es-CO"/>
        </w:rPr>
        <w:t>) el otorgamiento de becas para el acceso a instituciones de educación superior en Bogotá, y (</w:t>
      </w:r>
      <w:proofErr w:type="spellStart"/>
      <w:r w:rsidRPr="008A582B">
        <w:rPr>
          <w:rFonts w:ascii="Garamond" w:hAnsi="Garamond"/>
          <w:sz w:val="22"/>
          <w:szCs w:val="22"/>
          <w:lang w:val="es-CO"/>
        </w:rPr>
        <w:t>iii</w:t>
      </w:r>
      <w:proofErr w:type="spellEnd"/>
      <w:r w:rsidRPr="008A582B">
        <w:rPr>
          <w:rFonts w:ascii="Garamond" w:hAnsi="Garamond"/>
          <w:sz w:val="22"/>
          <w:szCs w:val="22"/>
          <w:lang w:val="es-CO"/>
        </w:rPr>
        <w:t>) el apoyo al sostenimiento de los jóvenes beneficiarios durante su permanencia en los programas académicos.</w:t>
      </w:r>
    </w:p>
    <w:p w14:paraId="79F15FEC" w14:textId="77777777" w:rsidR="008A582B" w:rsidRPr="008A582B" w:rsidRDefault="008A582B" w:rsidP="008A582B">
      <w:pPr>
        <w:spacing w:line="240" w:lineRule="auto"/>
        <w:jc w:val="both"/>
        <w:rPr>
          <w:rFonts w:ascii="Garamond" w:hAnsi="Garamond"/>
          <w:sz w:val="22"/>
          <w:szCs w:val="22"/>
          <w:lang w:val="es-CO"/>
        </w:rPr>
      </w:pPr>
      <w:r w:rsidRPr="008A582B">
        <w:rPr>
          <w:rFonts w:ascii="Garamond" w:hAnsi="Garamond"/>
          <w:sz w:val="22"/>
          <w:szCs w:val="22"/>
          <w:lang w:val="es-CO"/>
        </w:rPr>
        <w:t xml:space="preserve">Este ejercicio se ha venido desarrollando en articulación con la Agencia Distrital para la Educación Superior, la Ciencia y la Tecnología – ATENEA, mediante la destinación de recursos y la implementación de acciones de carácter técnico, administrativo, jurídico, financiero y humano, orientadas a garantizar el acceso y la permanencia de los jóvenes en programas de educación </w:t>
      </w:r>
      <w:proofErr w:type="spellStart"/>
      <w:r w:rsidRPr="008A582B">
        <w:rPr>
          <w:rFonts w:ascii="Garamond" w:hAnsi="Garamond"/>
          <w:sz w:val="22"/>
          <w:szCs w:val="22"/>
          <w:lang w:val="es-CO"/>
        </w:rPr>
        <w:t>posmedia</w:t>
      </w:r>
      <w:proofErr w:type="spellEnd"/>
      <w:r w:rsidRPr="008A582B">
        <w:rPr>
          <w:rFonts w:ascii="Garamond" w:hAnsi="Garamond"/>
          <w:sz w:val="22"/>
          <w:szCs w:val="22"/>
          <w:lang w:val="es-CO"/>
        </w:rPr>
        <w:t>.</w:t>
      </w:r>
    </w:p>
    <w:p w14:paraId="5FDE0D93" w14:textId="7EAF956F" w:rsidR="00D268A4" w:rsidRPr="00D268A4" w:rsidRDefault="00D268A4" w:rsidP="00D268A4">
      <w:pPr>
        <w:spacing w:line="240" w:lineRule="auto"/>
        <w:jc w:val="both"/>
        <w:rPr>
          <w:rFonts w:ascii="Garamond" w:hAnsi="Garamond"/>
          <w:sz w:val="22"/>
          <w:szCs w:val="22"/>
          <w:lang w:val="es-ES_tradnl"/>
        </w:rPr>
      </w:pPr>
      <w:r>
        <w:rPr>
          <w:rFonts w:ascii="Garamond" w:hAnsi="Garamond"/>
          <w:sz w:val="22"/>
          <w:szCs w:val="22"/>
          <w:lang w:val="es-ES_tradnl"/>
        </w:rPr>
        <w:t>Asimismo</w:t>
      </w:r>
      <w:r w:rsidRPr="00D268A4">
        <w:rPr>
          <w:rFonts w:ascii="Garamond" w:hAnsi="Garamond"/>
          <w:sz w:val="22"/>
          <w:szCs w:val="22"/>
          <w:lang w:val="es-ES_tradnl"/>
        </w:rPr>
        <w:t xml:space="preserve">, se encuentra </w:t>
      </w:r>
      <w:r>
        <w:rPr>
          <w:rFonts w:ascii="Garamond" w:hAnsi="Garamond"/>
          <w:sz w:val="22"/>
          <w:szCs w:val="22"/>
          <w:lang w:val="es-ES_tradnl"/>
        </w:rPr>
        <w:t>r</w:t>
      </w:r>
      <w:r w:rsidRPr="00D268A4">
        <w:rPr>
          <w:rFonts w:ascii="Garamond" w:hAnsi="Garamond"/>
          <w:sz w:val="22"/>
          <w:szCs w:val="22"/>
          <w:lang w:val="es-ES_tradnl"/>
        </w:rPr>
        <w:t xml:space="preserve">egistrado en el Banco de Proyectos de Inversión del Distrito, </w:t>
      </w:r>
      <w:r>
        <w:rPr>
          <w:rFonts w:ascii="Garamond" w:hAnsi="Garamond"/>
          <w:sz w:val="22"/>
          <w:szCs w:val="22"/>
          <w:lang w:val="es-ES_tradnl"/>
        </w:rPr>
        <w:t>e</w:t>
      </w:r>
      <w:r w:rsidRPr="00D268A4">
        <w:rPr>
          <w:rFonts w:ascii="Garamond" w:hAnsi="Garamond"/>
          <w:sz w:val="22"/>
          <w:szCs w:val="22"/>
          <w:lang w:val="es-ES_tradnl"/>
        </w:rPr>
        <w:t xml:space="preserve">l </w:t>
      </w:r>
      <w:r>
        <w:rPr>
          <w:rFonts w:ascii="Garamond" w:hAnsi="Garamond"/>
          <w:sz w:val="22"/>
          <w:szCs w:val="22"/>
          <w:lang w:val="es-ES_tradnl"/>
        </w:rPr>
        <w:t>p</w:t>
      </w:r>
      <w:r w:rsidRPr="00D268A4">
        <w:rPr>
          <w:rFonts w:ascii="Garamond" w:hAnsi="Garamond"/>
          <w:sz w:val="22"/>
          <w:szCs w:val="22"/>
          <w:lang w:val="es-ES_tradnl"/>
        </w:rPr>
        <w:t xml:space="preserve">rograma de </w:t>
      </w:r>
      <w:r>
        <w:rPr>
          <w:rFonts w:ascii="Garamond" w:hAnsi="Garamond"/>
          <w:sz w:val="22"/>
          <w:szCs w:val="22"/>
          <w:lang w:val="es-ES_tradnl"/>
        </w:rPr>
        <w:t>e</w:t>
      </w:r>
      <w:r w:rsidRPr="00D268A4">
        <w:rPr>
          <w:rFonts w:ascii="Garamond" w:hAnsi="Garamond"/>
          <w:sz w:val="22"/>
          <w:szCs w:val="22"/>
          <w:lang w:val="es-ES_tradnl"/>
        </w:rPr>
        <w:t xml:space="preserve">ducación </w:t>
      </w:r>
      <w:proofErr w:type="spellStart"/>
      <w:r>
        <w:rPr>
          <w:rFonts w:ascii="Garamond" w:hAnsi="Garamond"/>
          <w:sz w:val="22"/>
          <w:szCs w:val="22"/>
          <w:lang w:val="es-ES_tradnl"/>
        </w:rPr>
        <w:t>p</w:t>
      </w:r>
      <w:r w:rsidRPr="00D268A4">
        <w:rPr>
          <w:rFonts w:ascii="Garamond" w:hAnsi="Garamond"/>
          <w:sz w:val="22"/>
          <w:szCs w:val="22"/>
          <w:lang w:val="es-ES_tradnl"/>
        </w:rPr>
        <w:t>osmedia</w:t>
      </w:r>
      <w:proofErr w:type="spellEnd"/>
      <w:r>
        <w:rPr>
          <w:rFonts w:ascii="Garamond" w:hAnsi="Garamond"/>
          <w:sz w:val="22"/>
          <w:szCs w:val="22"/>
          <w:lang w:val="es-ES_tradnl"/>
        </w:rPr>
        <w:t xml:space="preserve"> denominado</w:t>
      </w:r>
      <w:r w:rsidRPr="00D268A4">
        <w:rPr>
          <w:rFonts w:ascii="Garamond" w:hAnsi="Garamond"/>
          <w:sz w:val="22"/>
          <w:szCs w:val="22"/>
          <w:lang w:val="es-ES_tradnl"/>
        </w:rPr>
        <w:t xml:space="preserve"> </w:t>
      </w:r>
      <w:r>
        <w:rPr>
          <w:rFonts w:ascii="Garamond" w:hAnsi="Garamond"/>
          <w:sz w:val="22"/>
          <w:szCs w:val="22"/>
          <w:lang w:val="es-ES_tradnl"/>
        </w:rPr>
        <w:t>«</w:t>
      </w:r>
      <w:r w:rsidRPr="00D268A4">
        <w:rPr>
          <w:rFonts w:ascii="Garamond" w:hAnsi="Garamond"/>
          <w:i/>
          <w:iCs/>
          <w:sz w:val="22"/>
          <w:szCs w:val="22"/>
          <w:lang w:val="es-ES_tradnl"/>
        </w:rPr>
        <w:t>Jóvenes a la E</w:t>
      </w:r>
      <w:r>
        <w:rPr>
          <w:rFonts w:ascii="Garamond" w:hAnsi="Garamond"/>
          <w:sz w:val="22"/>
          <w:szCs w:val="22"/>
          <w:lang w:val="es-ES_tradnl"/>
        </w:rPr>
        <w:t>»</w:t>
      </w:r>
      <w:r w:rsidRPr="00D268A4">
        <w:rPr>
          <w:rFonts w:ascii="Garamond" w:hAnsi="Garamond"/>
          <w:sz w:val="22"/>
          <w:szCs w:val="22"/>
          <w:lang w:val="es-ES_tradnl"/>
        </w:rPr>
        <w:t xml:space="preserve">, inicialmente concebido como </w:t>
      </w:r>
      <w:r>
        <w:rPr>
          <w:rFonts w:ascii="Garamond" w:hAnsi="Garamond"/>
          <w:sz w:val="22"/>
          <w:szCs w:val="22"/>
          <w:lang w:val="es-ES_tradnl"/>
        </w:rPr>
        <w:t>«</w:t>
      </w:r>
      <w:r w:rsidRPr="00D268A4">
        <w:rPr>
          <w:rFonts w:ascii="Garamond" w:hAnsi="Garamond"/>
          <w:i/>
          <w:iCs/>
          <w:sz w:val="22"/>
          <w:szCs w:val="22"/>
          <w:lang w:val="es-ES_tradnl"/>
        </w:rPr>
        <w:t>Jóvenes a la U</w:t>
      </w:r>
      <w:r>
        <w:rPr>
          <w:rFonts w:ascii="Garamond" w:hAnsi="Garamond"/>
          <w:sz w:val="22"/>
          <w:szCs w:val="22"/>
          <w:lang w:val="es-ES_tradnl"/>
        </w:rPr>
        <w:t>»</w:t>
      </w:r>
      <w:r w:rsidRPr="00D268A4">
        <w:rPr>
          <w:rFonts w:ascii="Garamond" w:hAnsi="Garamond"/>
          <w:sz w:val="22"/>
          <w:szCs w:val="22"/>
          <w:lang w:val="es-ES_tradnl"/>
        </w:rPr>
        <w:t xml:space="preserve">, apuesta de la Administración Distrital </w:t>
      </w:r>
      <w:r>
        <w:rPr>
          <w:rFonts w:ascii="Garamond" w:hAnsi="Garamond"/>
          <w:sz w:val="22"/>
          <w:szCs w:val="22"/>
          <w:lang w:val="es-ES_tradnl"/>
        </w:rPr>
        <w:t>cuyo génesis derivó de</w:t>
      </w:r>
      <w:r w:rsidRPr="00D268A4">
        <w:rPr>
          <w:rFonts w:ascii="Garamond" w:hAnsi="Garamond"/>
          <w:sz w:val="22"/>
          <w:szCs w:val="22"/>
          <w:lang w:val="es-ES_tradnl"/>
        </w:rPr>
        <w:t xml:space="preserve"> la Secretaría de Educación en virtud del proyecto de inversión N.º 7809 de 2020, cuyo objetivo estaba orientado a promover el acceso y la permanencia en la educación superior de los jóvenes en las instituciones de educación superior oficiales y no oficiales.</w:t>
      </w:r>
    </w:p>
    <w:p w14:paraId="64BBA926" w14:textId="77777777"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 xml:space="preserve">Por lo anterior, el Plan Distrital de Desarrollo “Bogotá camina segura” Acuerdo 927 de 2024 establece que “se ofrecerá una educación media pertinente, tanto en aprendizajes básicos como en su proyección y articulación con la educación </w:t>
      </w:r>
      <w:proofErr w:type="spellStart"/>
      <w:r w:rsidRPr="00D268A4">
        <w:rPr>
          <w:rFonts w:ascii="Garamond" w:hAnsi="Garamond"/>
          <w:sz w:val="22"/>
          <w:szCs w:val="22"/>
          <w:lang w:val="es-ES_tradnl"/>
        </w:rPr>
        <w:t>posmedia</w:t>
      </w:r>
      <w:proofErr w:type="spellEnd"/>
      <w:r w:rsidRPr="00D268A4">
        <w:rPr>
          <w:rFonts w:ascii="Garamond" w:hAnsi="Garamond"/>
          <w:sz w:val="22"/>
          <w:szCs w:val="22"/>
          <w:lang w:val="es-ES_tradnl"/>
        </w:rPr>
        <w:t>, y con los ecosistemas de emprendimiento e ingreso laboral”,</w:t>
      </w:r>
    </w:p>
    <w:p w14:paraId="68D11D49" w14:textId="2E341472" w:rsid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Por lo anterior, el Plan Distrital de Desarrollo</w:t>
      </w:r>
      <w:r>
        <w:rPr>
          <w:rFonts w:ascii="Garamond" w:hAnsi="Garamond"/>
          <w:sz w:val="22"/>
          <w:szCs w:val="22"/>
          <w:lang w:val="es-ES_tradnl"/>
        </w:rPr>
        <w:t>,</w:t>
      </w:r>
      <w:r w:rsidRPr="00D268A4">
        <w:rPr>
          <w:rFonts w:ascii="Garamond" w:hAnsi="Garamond"/>
          <w:sz w:val="22"/>
          <w:szCs w:val="22"/>
          <w:lang w:val="es-ES_tradnl"/>
        </w:rPr>
        <w:t xml:space="preserve"> </w:t>
      </w:r>
      <w:r>
        <w:rPr>
          <w:rFonts w:ascii="Garamond" w:hAnsi="Garamond"/>
          <w:sz w:val="22"/>
          <w:szCs w:val="22"/>
          <w:lang w:val="es-ES_tradnl"/>
        </w:rPr>
        <w:t>«</w:t>
      </w:r>
      <w:r w:rsidRPr="00D268A4">
        <w:rPr>
          <w:rFonts w:ascii="Garamond" w:hAnsi="Garamond"/>
          <w:i/>
          <w:iCs/>
          <w:sz w:val="22"/>
          <w:szCs w:val="22"/>
          <w:lang w:val="es-ES_tradnl"/>
        </w:rPr>
        <w:t>Bogotá Camina Segura, 2024-2027</w:t>
      </w:r>
      <w:r>
        <w:rPr>
          <w:rFonts w:ascii="Garamond" w:hAnsi="Garamond"/>
          <w:sz w:val="22"/>
          <w:szCs w:val="22"/>
          <w:lang w:val="es-ES_tradnl"/>
        </w:rPr>
        <w:t>», disciplinado a través del</w:t>
      </w:r>
      <w:r w:rsidRPr="00D268A4">
        <w:rPr>
          <w:rFonts w:ascii="Garamond" w:hAnsi="Garamond"/>
          <w:sz w:val="22"/>
          <w:szCs w:val="22"/>
          <w:lang w:val="es-ES_tradnl"/>
        </w:rPr>
        <w:t xml:space="preserve"> Acuerdo 927 de 2024 establece que </w:t>
      </w:r>
      <w:r w:rsidRPr="00D268A4">
        <w:rPr>
          <w:rFonts w:ascii="Garamond" w:hAnsi="Garamond"/>
          <w:i/>
          <w:iCs/>
          <w:sz w:val="22"/>
          <w:szCs w:val="22"/>
          <w:lang w:val="es-ES_tradnl"/>
        </w:rPr>
        <w:t xml:space="preserve">«[…] se ofrecerá una educación media pertinente, tanto en aprendizajes básicos como en su proyección y articulación con la educación </w:t>
      </w:r>
      <w:proofErr w:type="spellStart"/>
      <w:r w:rsidRPr="00D268A4">
        <w:rPr>
          <w:rFonts w:ascii="Garamond" w:hAnsi="Garamond"/>
          <w:i/>
          <w:iCs/>
          <w:sz w:val="22"/>
          <w:szCs w:val="22"/>
          <w:lang w:val="es-ES_tradnl"/>
        </w:rPr>
        <w:t>posmedia</w:t>
      </w:r>
      <w:proofErr w:type="spellEnd"/>
      <w:r w:rsidRPr="00D268A4">
        <w:rPr>
          <w:rFonts w:ascii="Garamond" w:hAnsi="Garamond"/>
          <w:i/>
          <w:iCs/>
          <w:sz w:val="22"/>
          <w:szCs w:val="22"/>
          <w:lang w:val="es-ES_tradnl"/>
        </w:rPr>
        <w:t>, y con los ecosistemas de emprendimiento e ingreso laboral</w:t>
      </w:r>
      <w:r>
        <w:rPr>
          <w:rFonts w:ascii="Garamond" w:hAnsi="Garamond"/>
          <w:sz w:val="22"/>
          <w:szCs w:val="22"/>
          <w:lang w:val="es-ES_tradnl"/>
        </w:rPr>
        <w:t>»</w:t>
      </w:r>
      <w:r w:rsidRPr="00D268A4">
        <w:rPr>
          <w:rFonts w:ascii="Garamond" w:hAnsi="Garamond"/>
          <w:sz w:val="22"/>
          <w:szCs w:val="22"/>
          <w:lang w:val="es-ES_tradnl"/>
        </w:rPr>
        <w:t xml:space="preserve">, lo cual específicamente se relaciona con la Agencia ATENEA mediante la ejecución del programa 16 </w:t>
      </w:r>
      <w:r>
        <w:rPr>
          <w:rFonts w:ascii="Garamond" w:hAnsi="Garamond"/>
          <w:sz w:val="22"/>
          <w:szCs w:val="22"/>
          <w:lang w:val="es-ES_tradnl"/>
        </w:rPr>
        <w:t>«</w:t>
      </w:r>
      <w:r w:rsidRPr="00D268A4">
        <w:rPr>
          <w:rFonts w:ascii="Garamond" w:hAnsi="Garamond"/>
          <w:i/>
          <w:iCs/>
          <w:sz w:val="22"/>
          <w:szCs w:val="22"/>
          <w:lang w:val="es-ES_tradnl"/>
        </w:rPr>
        <w:t>La educación como eje del potencial humano</w:t>
      </w:r>
      <w:r>
        <w:rPr>
          <w:rFonts w:ascii="Garamond" w:hAnsi="Garamond"/>
          <w:sz w:val="22"/>
          <w:szCs w:val="22"/>
          <w:lang w:val="es-ES_tradnl"/>
        </w:rPr>
        <w:t>»</w:t>
      </w:r>
      <w:r w:rsidRPr="00D268A4">
        <w:rPr>
          <w:rFonts w:ascii="Garamond" w:hAnsi="Garamond"/>
          <w:sz w:val="22"/>
          <w:szCs w:val="22"/>
          <w:lang w:val="es-ES_tradnl"/>
        </w:rPr>
        <w:t xml:space="preserve"> en la meta </w:t>
      </w:r>
      <w:r>
        <w:rPr>
          <w:rFonts w:ascii="Garamond" w:hAnsi="Garamond"/>
          <w:sz w:val="22"/>
          <w:szCs w:val="22"/>
          <w:lang w:val="es-ES_tradnl"/>
        </w:rPr>
        <w:t>«</w:t>
      </w:r>
      <w:r w:rsidRPr="00D268A4">
        <w:rPr>
          <w:rFonts w:ascii="Garamond" w:hAnsi="Garamond"/>
          <w:i/>
          <w:iCs/>
          <w:sz w:val="22"/>
          <w:szCs w:val="22"/>
          <w:lang w:val="es-ES_tradnl"/>
        </w:rPr>
        <w:t xml:space="preserve">Ofrecer 32.000 cupos en las estrategias de acceso y permanencia en la educación superior y </w:t>
      </w:r>
      <w:proofErr w:type="spellStart"/>
      <w:r w:rsidRPr="00D268A4">
        <w:rPr>
          <w:rFonts w:ascii="Garamond" w:hAnsi="Garamond"/>
          <w:i/>
          <w:iCs/>
          <w:sz w:val="22"/>
          <w:szCs w:val="22"/>
          <w:lang w:val="es-ES_tradnl"/>
        </w:rPr>
        <w:t>posmedia</w:t>
      </w:r>
      <w:proofErr w:type="spellEnd"/>
      <w:r w:rsidRPr="00D268A4">
        <w:rPr>
          <w:rFonts w:ascii="Garamond" w:hAnsi="Garamond"/>
          <w:i/>
          <w:iCs/>
          <w:sz w:val="22"/>
          <w:szCs w:val="22"/>
          <w:lang w:val="es-ES_tradnl"/>
        </w:rPr>
        <w:t>, de los cuales 22.000 cupos serán para educación superior y 10.000 cupos para educación para el trabajo y el desarrollo humano</w:t>
      </w:r>
      <w:r>
        <w:rPr>
          <w:rFonts w:ascii="Garamond" w:hAnsi="Garamond"/>
          <w:sz w:val="22"/>
          <w:szCs w:val="22"/>
          <w:lang w:val="es-ES_tradnl"/>
        </w:rPr>
        <w:t>»</w:t>
      </w:r>
      <w:r w:rsidRPr="00D268A4">
        <w:rPr>
          <w:rFonts w:ascii="Garamond" w:hAnsi="Garamond"/>
          <w:sz w:val="22"/>
          <w:szCs w:val="22"/>
          <w:lang w:val="es-ES_tradnl"/>
        </w:rPr>
        <w:t xml:space="preserve">; </w:t>
      </w:r>
      <w:r>
        <w:rPr>
          <w:rFonts w:ascii="Garamond" w:hAnsi="Garamond"/>
          <w:sz w:val="22"/>
          <w:szCs w:val="22"/>
          <w:lang w:val="es-ES_tradnl"/>
        </w:rPr>
        <w:t>los cuales</w:t>
      </w:r>
      <w:r w:rsidRPr="00D268A4">
        <w:rPr>
          <w:rFonts w:ascii="Garamond" w:hAnsi="Garamond"/>
          <w:sz w:val="22"/>
          <w:szCs w:val="22"/>
          <w:lang w:val="es-ES_tradnl"/>
        </w:rPr>
        <w:t xml:space="preserve"> se ofrecerán durante el cuatrienio.</w:t>
      </w:r>
    </w:p>
    <w:p w14:paraId="4FB38CC5" w14:textId="6DCD045E"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Asimismo, en el marco del programa 17</w:t>
      </w:r>
      <w:r>
        <w:rPr>
          <w:rFonts w:ascii="Garamond" w:hAnsi="Garamond"/>
          <w:sz w:val="22"/>
          <w:szCs w:val="22"/>
          <w:lang w:val="es-ES"/>
        </w:rPr>
        <w:t>,</w:t>
      </w:r>
      <w:r w:rsidRPr="00D268A4">
        <w:rPr>
          <w:rFonts w:ascii="Garamond" w:hAnsi="Garamond"/>
          <w:sz w:val="22"/>
          <w:szCs w:val="22"/>
          <w:lang w:val="es-ES"/>
        </w:rPr>
        <w:t xml:space="preserve"> </w:t>
      </w:r>
      <w:r>
        <w:rPr>
          <w:rFonts w:ascii="Garamond" w:hAnsi="Garamond"/>
          <w:sz w:val="22"/>
          <w:szCs w:val="22"/>
          <w:lang w:val="es-ES"/>
        </w:rPr>
        <w:t>«</w:t>
      </w:r>
      <w:r w:rsidRPr="00D268A4">
        <w:rPr>
          <w:rFonts w:ascii="Garamond" w:hAnsi="Garamond"/>
          <w:i/>
          <w:iCs/>
          <w:sz w:val="22"/>
          <w:szCs w:val="22"/>
          <w:lang w:val="es-ES"/>
        </w:rPr>
        <w:t>Formación para el trabajo y acceso a oportunidades educativas»,</w:t>
      </w:r>
      <w:r w:rsidRPr="00D268A4">
        <w:rPr>
          <w:rFonts w:ascii="Garamond" w:hAnsi="Garamond"/>
          <w:sz w:val="22"/>
          <w:szCs w:val="22"/>
          <w:lang w:val="es-ES"/>
        </w:rPr>
        <w:t xml:space="preserve"> la Agencia cuenta con el compromiso sobre la meta </w:t>
      </w:r>
      <w:r>
        <w:rPr>
          <w:rFonts w:ascii="Garamond" w:hAnsi="Garamond"/>
          <w:sz w:val="22"/>
          <w:szCs w:val="22"/>
          <w:lang w:val="es-ES"/>
        </w:rPr>
        <w:t>«</w:t>
      </w:r>
      <w:r w:rsidRPr="00D268A4">
        <w:rPr>
          <w:rFonts w:ascii="Garamond" w:hAnsi="Garamond"/>
          <w:i/>
          <w:iCs/>
          <w:sz w:val="22"/>
          <w:szCs w:val="22"/>
          <w:lang w:val="es-ES"/>
        </w:rPr>
        <w:t xml:space="preserve">Ofrecer 20.000 cupos de formación </w:t>
      </w:r>
      <w:proofErr w:type="spellStart"/>
      <w:r w:rsidRPr="00D268A4">
        <w:rPr>
          <w:rFonts w:ascii="Garamond" w:hAnsi="Garamond"/>
          <w:i/>
          <w:iCs/>
          <w:sz w:val="22"/>
          <w:szCs w:val="22"/>
          <w:lang w:val="es-ES"/>
        </w:rPr>
        <w:t>posmedia</w:t>
      </w:r>
      <w:proofErr w:type="spellEnd"/>
      <w:r w:rsidRPr="00D268A4">
        <w:rPr>
          <w:rFonts w:ascii="Garamond" w:hAnsi="Garamond"/>
          <w:i/>
          <w:iCs/>
          <w:sz w:val="22"/>
          <w:szCs w:val="22"/>
          <w:lang w:val="es-ES"/>
        </w:rPr>
        <w:t xml:space="preserve"> en cursos cortos orientados a jóvenes con potencial</w:t>
      </w:r>
      <w:r>
        <w:rPr>
          <w:rFonts w:ascii="Garamond" w:hAnsi="Garamond"/>
          <w:sz w:val="22"/>
          <w:szCs w:val="22"/>
          <w:lang w:val="es-ES"/>
        </w:rPr>
        <w:t>»</w:t>
      </w:r>
      <w:r w:rsidRPr="00D268A4">
        <w:rPr>
          <w:rFonts w:ascii="Garamond" w:hAnsi="Garamond"/>
          <w:sz w:val="22"/>
          <w:szCs w:val="22"/>
          <w:lang w:val="es-ES"/>
        </w:rPr>
        <w:t>.</w:t>
      </w:r>
    </w:p>
    <w:p w14:paraId="5B51668B" w14:textId="4CCA9F95"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Las metas anteriores, están planeadas a nivel distrital, sin embargo, desde el Fondo de Desarrollo Local de San Cristóbal, mediante el </w:t>
      </w:r>
      <w:r w:rsidR="004A7C26">
        <w:rPr>
          <w:rFonts w:ascii="Garamond" w:hAnsi="Garamond"/>
          <w:sz w:val="22"/>
          <w:szCs w:val="22"/>
          <w:lang w:val="es-ES"/>
        </w:rPr>
        <w:t>P</w:t>
      </w:r>
      <w:r w:rsidRPr="00D268A4">
        <w:rPr>
          <w:rFonts w:ascii="Garamond" w:hAnsi="Garamond"/>
          <w:sz w:val="22"/>
          <w:szCs w:val="22"/>
          <w:lang w:val="es-ES"/>
        </w:rPr>
        <w:t xml:space="preserve">royecto de </w:t>
      </w:r>
      <w:r w:rsidR="004A7C26">
        <w:rPr>
          <w:rFonts w:ascii="Garamond" w:hAnsi="Garamond"/>
          <w:sz w:val="22"/>
          <w:szCs w:val="22"/>
          <w:lang w:val="es-ES"/>
        </w:rPr>
        <w:t>I</w:t>
      </w:r>
      <w:r w:rsidRPr="00D268A4">
        <w:rPr>
          <w:rFonts w:ascii="Garamond" w:hAnsi="Garamond"/>
          <w:sz w:val="22"/>
          <w:szCs w:val="22"/>
          <w:lang w:val="es-ES"/>
        </w:rPr>
        <w:t>nversión</w:t>
      </w:r>
      <w:r w:rsidR="004A7C26">
        <w:rPr>
          <w:rFonts w:ascii="Garamond" w:hAnsi="Garamond"/>
          <w:sz w:val="22"/>
          <w:szCs w:val="22"/>
          <w:lang w:val="es-ES"/>
        </w:rPr>
        <w:t xml:space="preserve"> </w:t>
      </w:r>
      <w:proofErr w:type="spellStart"/>
      <w:r w:rsidR="004A7C26">
        <w:rPr>
          <w:rFonts w:ascii="Garamond" w:hAnsi="Garamond"/>
          <w:sz w:val="22"/>
          <w:szCs w:val="22"/>
          <w:lang w:val="es-ES"/>
        </w:rPr>
        <w:t>N°</w:t>
      </w:r>
      <w:proofErr w:type="spellEnd"/>
      <w:r w:rsidRPr="00D268A4">
        <w:rPr>
          <w:rFonts w:ascii="Garamond" w:hAnsi="Garamond"/>
          <w:sz w:val="22"/>
          <w:szCs w:val="22"/>
          <w:lang w:val="es-ES"/>
        </w:rPr>
        <w:t xml:space="preserve"> 2615</w:t>
      </w:r>
      <w:r w:rsidR="004A7C26">
        <w:rPr>
          <w:rFonts w:ascii="Garamond" w:hAnsi="Garamond"/>
          <w:sz w:val="22"/>
          <w:szCs w:val="22"/>
          <w:lang w:val="es-ES"/>
        </w:rPr>
        <w:t>,</w:t>
      </w:r>
      <w:r w:rsidRPr="00D268A4">
        <w:rPr>
          <w:rFonts w:ascii="Garamond" w:hAnsi="Garamond"/>
          <w:sz w:val="22"/>
          <w:szCs w:val="22"/>
          <w:lang w:val="es-ES"/>
        </w:rPr>
        <w:t xml:space="preserve"> </w:t>
      </w:r>
      <w:r w:rsidR="004A7C26">
        <w:rPr>
          <w:rFonts w:ascii="Garamond" w:hAnsi="Garamond"/>
          <w:sz w:val="22"/>
          <w:szCs w:val="22"/>
          <w:lang w:val="es-ES"/>
        </w:rPr>
        <w:t>«</w:t>
      </w:r>
      <w:r w:rsidRPr="004A7C26">
        <w:rPr>
          <w:rFonts w:ascii="Garamond" w:hAnsi="Garamond"/>
          <w:i/>
          <w:iCs/>
          <w:sz w:val="22"/>
          <w:szCs w:val="22"/>
          <w:lang w:val="es-ES"/>
        </w:rPr>
        <w:t>Educación que genera oportunidades</w:t>
      </w:r>
      <w:r w:rsidR="004A7C26">
        <w:rPr>
          <w:rFonts w:ascii="Garamond" w:hAnsi="Garamond"/>
          <w:sz w:val="22"/>
          <w:szCs w:val="22"/>
          <w:lang w:val="es-ES"/>
        </w:rPr>
        <w:t>»</w:t>
      </w:r>
      <w:r w:rsidRPr="00D268A4">
        <w:rPr>
          <w:rFonts w:ascii="Garamond" w:hAnsi="Garamond"/>
          <w:sz w:val="22"/>
          <w:szCs w:val="22"/>
          <w:lang w:val="es-ES"/>
        </w:rPr>
        <w:t>, se destinarán los recursos para dar cumplimiento a las siguientes metas, relacionadas en el Plan de Desarrollo Local:</w:t>
      </w:r>
    </w:p>
    <w:p w14:paraId="5FD62D92" w14:textId="34859BBB" w:rsidR="00D268A4" w:rsidRPr="004A7C26" w:rsidRDefault="00D268A4" w:rsidP="004A7C26">
      <w:pPr>
        <w:pStyle w:val="Prrafodelista"/>
        <w:numPr>
          <w:ilvl w:val="0"/>
          <w:numId w:val="1"/>
        </w:numPr>
        <w:spacing w:line="240" w:lineRule="auto"/>
        <w:jc w:val="both"/>
        <w:rPr>
          <w:rFonts w:ascii="Garamond" w:hAnsi="Garamond"/>
          <w:sz w:val="22"/>
          <w:szCs w:val="22"/>
          <w:lang w:val="es-ES"/>
        </w:rPr>
      </w:pPr>
      <w:r w:rsidRPr="004A7C26">
        <w:rPr>
          <w:rFonts w:ascii="Garamond" w:hAnsi="Garamond"/>
          <w:sz w:val="22"/>
          <w:szCs w:val="22"/>
          <w:lang w:val="es-ES"/>
        </w:rPr>
        <w:t xml:space="preserve">Beneficiar 840 estudiantes con apoyo de sostenimiento para la permanencia en la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(niveles de formación técnico profesional, tecnólogo, profesional universitario y educación para el trabajo y desarrollo humano).</w:t>
      </w:r>
    </w:p>
    <w:p w14:paraId="369F20FE" w14:textId="0D8A8997" w:rsidR="00D268A4" w:rsidRPr="004A7C26" w:rsidRDefault="00D268A4" w:rsidP="004A7C26">
      <w:pPr>
        <w:pStyle w:val="Prrafodelista"/>
        <w:numPr>
          <w:ilvl w:val="0"/>
          <w:numId w:val="1"/>
        </w:numPr>
        <w:spacing w:line="240" w:lineRule="auto"/>
        <w:jc w:val="both"/>
        <w:rPr>
          <w:rFonts w:ascii="Garamond" w:hAnsi="Garamond"/>
          <w:sz w:val="22"/>
          <w:szCs w:val="22"/>
          <w:lang w:val="es-ES"/>
        </w:rPr>
      </w:pPr>
      <w:r w:rsidRPr="004A7C26">
        <w:rPr>
          <w:rFonts w:ascii="Garamond" w:hAnsi="Garamond"/>
          <w:sz w:val="22"/>
          <w:szCs w:val="22"/>
          <w:lang w:val="es-ES"/>
        </w:rPr>
        <w:t xml:space="preserve">Beneficiar 840 estudiantes en programas de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(niveles de formación técnico profesional, tecnólogo, profesional universitario y educación para el trabajo y desarrollo humano).</w:t>
      </w:r>
    </w:p>
    <w:p w14:paraId="4669A866" w14:textId="56CDFF2C"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Es así como el FDL realizará el </w:t>
      </w:r>
      <w:r w:rsidR="004A7C26" w:rsidRPr="00D268A4">
        <w:rPr>
          <w:rFonts w:ascii="Garamond" w:hAnsi="Garamond"/>
          <w:sz w:val="22"/>
          <w:szCs w:val="22"/>
          <w:lang w:val="es-ES"/>
        </w:rPr>
        <w:t>aporte económico</w:t>
      </w:r>
      <w:r w:rsidRPr="00D268A4">
        <w:rPr>
          <w:rFonts w:ascii="Garamond" w:hAnsi="Garamond"/>
          <w:sz w:val="22"/>
          <w:szCs w:val="22"/>
          <w:lang w:val="es-ES"/>
        </w:rPr>
        <w:t xml:space="preserve"> necesarios, para cubrir la matrícula de todos los beneficiarios, que fueron admitidos en los diferentes programas de las diferentes IES, tanto públicas como </w:t>
      </w:r>
      <w:r w:rsidRPr="00D268A4">
        <w:rPr>
          <w:rFonts w:ascii="Garamond" w:hAnsi="Garamond"/>
          <w:sz w:val="22"/>
          <w:szCs w:val="22"/>
          <w:lang w:val="es-ES"/>
        </w:rPr>
        <w:lastRenderedPageBreak/>
        <w:t xml:space="preserve">privadas y así, aunar esfuerzos con la Agencia, para cubrir el acceso y la permanencia a la educación superior de 210 jóvenes de la localidad. Es válido aclarar que la meta anual tiene en cuenta a 210 jóvenes que son seleccionados mediante los criterios y parámetros establecidos por la agencia; la finalidad es que cada año, se vincule la misma cantidad de jóvenes para que al finalizar el cuatreño, se haya logrado beneficiar 840 jóvenes diferentes de la localidad. </w:t>
      </w:r>
    </w:p>
    <w:p w14:paraId="4D3F55FD" w14:textId="10233ED8" w:rsidR="004A7C26" w:rsidRPr="004A7C26" w:rsidRDefault="004A7C26" w:rsidP="004A7C26">
      <w:pPr>
        <w:spacing w:line="240" w:lineRule="auto"/>
        <w:jc w:val="both"/>
        <w:rPr>
          <w:rFonts w:ascii="Garamond" w:hAnsi="Garamond"/>
          <w:sz w:val="22"/>
          <w:szCs w:val="22"/>
          <w:lang w:val="es-ES"/>
        </w:rPr>
      </w:pPr>
      <w:r w:rsidRPr="004A7C26">
        <w:rPr>
          <w:rFonts w:ascii="Garamond" w:hAnsi="Garamond"/>
          <w:sz w:val="22"/>
          <w:szCs w:val="22"/>
          <w:lang w:val="es-ES"/>
        </w:rPr>
        <w:t xml:space="preserve">Aunado a lo anterior, con la creación de la Agencia Distrital para la Educación Superior, la Ciencia y la Tecnología – ATENEA, mediante el Decreto Distrital 273 de 2020, como entidad pública de naturaleza especial, dotada de personería jurídica, autonomía administrativa, financiera y presupuestal, así como de patrimonio propio, y adscrita al sector administrativo de coordinación de Educación, encabezado por la Secretaría de Educación del Distrito, la gestión de este programa quedó radicada en dicha entidad. En ese marco, fue incorporado al proyecto de inversión N.º 7913, denominado </w:t>
      </w:r>
      <w:r>
        <w:rPr>
          <w:rFonts w:ascii="Garamond" w:hAnsi="Garamond"/>
          <w:sz w:val="22"/>
          <w:szCs w:val="22"/>
          <w:lang w:val="es-ES"/>
        </w:rPr>
        <w:t>«</w:t>
      </w:r>
      <w:r w:rsidRPr="004A7C26">
        <w:rPr>
          <w:rFonts w:ascii="Garamond" w:hAnsi="Garamond"/>
          <w:i/>
          <w:iCs/>
          <w:sz w:val="22"/>
          <w:szCs w:val="22"/>
          <w:lang w:val="es-ES"/>
        </w:rPr>
        <w:t xml:space="preserve">Implementación del sistema de educación </w:t>
      </w:r>
      <w:proofErr w:type="spellStart"/>
      <w:r w:rsidRPr="004A7C26">
        <w:rPr>
          <w:rFonts w:ascii="Garamond" w:hAnsi="Garamond"/>
          <w:i/>
          <w:iCs/>
          <w:sz w:val="22"/>
          <w:szCs w:val="22"/>
          <w:lang w:val="es-ES"/>
        </w:rPr>
        <w:t>posmedia</w:t>
      </w:r>
      <w:proofErr w:type="spellEnd"/>
      <w:r w:rsidRPr="004A7C26">
        <w:rPr>
          <w:rFonts w:ascii="Garamond" w:hAnsi="Garamond"/>
          <w:i/>
          <w:iCs/>
          <w:sz w:val="22"/>
          <w:szCs w:val="22"/>
          <w:lang w:val="es-ES"/>
        </w:rPr>
        <w:t xml:space="preserve"> para Bogotá D.C.</w:t>
      </w:r>
      <w:r>
        <w:rPr>
          <w:rFonts w:ascii="Garamond" w:hAnsi="Garamond"/>
          <w:sz w:val="22"/>
          <w:szCs w:val="22"/>
          <w:lang w:val="es-ES"/>
        </w:rPr>
        <w:t>»</w:t>
      </w:r>
      <w:r w:rsidRPr="004A7C26">
        <w:rPr>
          <w:rFonts w:ascii="Garamond" w:hAnsi="Garamond"/>
          <w:sz w:val="22"/>
          <w:szCs w:val="22"/>
          <w:lang w:val="es-ES"/>
        </w:rPr>
        <w:t>, en calidad de estrategia orientada al cumplimiento de las metas definidas tanto en ese proyecto como en el Plan Distrital de Desarrollo 2020–2024.</w:t>
      </w:r>
    </w:p>
    <w:p w14:paraId="2F3A930B" w14:textId="184EE9EB" w:rsidR="00D268A4" w:rsidRPr="00D268A4" w:rsidRDefault="004A7C26" w:rsidP="004A7C26">
      <w:pPr>
        <w:spacing w:line="240" w:lineRule="auto"/>
        <w:jc w:val="both"/>
        <w:rPr>
          <w:rFonts w:ascii="Garamond" w:hAnsi="Garamond"/>
          <w:sz w:val="22"/>
          <w:szCs w:val="22"/>
          <w:lang w:val="es-ES"/>
        </w:rPr>
      </w:pPr>
      <w:r w:rsidRPr="004A7C26">
        <w:rPr>
          <w:rFonts w:ascii="Garamond" w:hAnsi="Garamond"/>
          <w:sz w:val="22"/>
          <w:szCs w:val="22"/>
          <w:lang w:val="es-ES"/>
        </w:rPr>
        <w:t xml:space="preserve">Posteriormente, con ocasión del proceso de formulación del Plan Distrital de Desarrollo 2024–2027, la Agencia ATENEA adelantó un ejercicio de identificación de aspectos susceptibles de mejora, encaminado a responder a los objetivos del PDD </w:t>
      </w:r>
      <w:r>
        <w:rPr>
          <w:rFonts w:ascii="Garamond" w:hAnsi="Garamond"/>
          <w:sz w:val="22"/>
          <w:szCs w:val="22"/>
          <w:lang w:val="es-ES"/>
        </w:rPr>
        <w:t>«</w:t>
      </w:r>
      <w:r w:rsidRPr="004A7C26">
        <w:rPr>
          <w:rFonts w:ascii="Garamond" w:hAnsi="Garamond"/>
          <w:i/>
          <w:iCs/>
          <w:sz w:val="22"/>
          <w:szCs w:val="22"/>
          <w:lang w:val="es-ES"/>
        </w:rPr>
        <w:t>Bogotá Camina Segura</w:t>
      </w:r>
      <w:r>
        <w:rPr>
          <w:rFonts w:ascii="Garamond" w:hAnsi="Garamond"/>
          <w:sz w:val="22"/>
          <w:szCs w:val="22"/>
          <w:lang w:val="es-ES"/>
        </w:rPr>
        <w:t>»</w:t>
      </w:r>
      <w:r w:rsidRPr="004A7C26">
        <w:rPr>
          <w:rFonts w:ascii="Garamond" w:hAnsi="Garamond"/>
          <w:sz w:val="22"/>
          <w:szCs w:val="22"/>
          <w:lang w:val="es-ES"/>
        </w:rPr>
        <w:t xml:space="preserve"> relacionados con el incremento del acceso y la permanencia de jóvenes en condición de vulnerabilidad en programas de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en la ciudad de Bogotá. Como resultado de dicho proceso, el </w:t>
      </w:r>
      <w:r>
        <w:rPr>
          <w:rFonts w:ascii="Garamond" w:hAnsi="Garamond"/>
          <w:sz w:val="22"/>
          <w:szCs w:val="22"/>
          <w:lang w:val="es-ES"/>
        </w:rPr>
        <w:t>«</w:t>
      </w:r>
      <w:r w:rsidRPr="004A7C26">
        <w:rPr>
          <w:rFonts w:ascii="Garamond" w:hAnsi="Garamond"/>
          <w:i/>
          <w:iCs/>
          <w:sz w:val="22"/>
          <w:szCs w:val="22"/>
          <w:lang w:val="es-ES"/>
        </w:rPr>
        <w:t>Programa Jóvenes a la U</w:t>
      </w:r>
      <w:r>
        <w:rPr>
          <w:rFonts w:ascii="Garamond" w:hAnsi="Garamond"/>
          <w:sz w:val="22"/>
          <w:szCs w:val="22"/>
          <w:lang w:val="es-ES"/>
        </w:rPr>
        <w:t>»</w:t>
      </w:r>
      <w:r w:rsidRPr="004A7C26">
        <w:rPr>
          <w:rFonts w:ascii="Garamond" w:hAnsi="Garamond"/>
          <w:sz w:val="22"/>
          <w:szCs w:val="22"/>
          <w:lang w:val="es-ES"/>
        </w:rPr>
        <w:t xml:space="preserve"> evolucionó hacia el </w:t>
      </w:r>
      <w:r>
        <w:rPr>
          <w:rFonts w:ascii="Garamond" w:hAnsi="Garamond"/>
          <w:sz w:val="22"/>
          <w:szCs w:val="22"/>
          <w:lang w:val="es-ES"/>
        </w:rPr>
        <w:t>«</w:t>
      </w:r>
      <w:r w:rsidRPr="004A7C26">
        <w:rPr>
          <w:rFonts w:ascii="Garamond" w:hAnsi="Garamond"/>
          <w:i/>
          <w:iCs/>
          <w:sz w:val="22"/>
          <w:szCs w:val="22"/>
          <w:lang w:val="es-ES"/>
        </w:rPr>
        <w:t>Programa Jóvenes a la E</w:t>
      </w:r>
      <w:r>
        <w:rPr>
          <w:rFonts w:ascii="Garamond" w:hAnsi="Garamond"/>
          <w:sz w:val="22"/>
          <w:szCs w:val="22"/>
          <w:lang w:val="es-ES"/>
        </w:rPr>
        <w:t>»</w:t>
      </w:r>
      <w:r w:rsidRPr="004A7C26">
        <w:rPr>
          <w:rFonts w:ascii="Garamond" w:hAnsi="Garamond"/>
          <w:sz w:val="22"/>
          <w:szCs w:val="22"/>
          <w:lang w:val="es-ES"/>
        </w:rPr>
        <w:t>, transformación que se concretó en cinco ajustes sustanciales: la redefinición de los criterios de calidad y pertinencia para la selección de la oferta formativa; la consolidación del mérito académico y de la vulnerabilidad socioeconómica como criterios rectores para la selección de las y los beneficiarios; el fortalecimiento de la oferta educativa mediante el impulso a las Instituciones de Educación Superior públicas de la ciudad; la incorporación de estrategias de orientación dirigidas a mejorar la permanencia y la empleabilidad de la población beneficiaria; y, finalmente, la inclusión de la Educación para el Trabajo y el Desarrollo Humano, así como de programas pertenecientes al Subsistema de Formación para el Trabajo.</w:t>
      </w:r>
    </w:p>
    <w:p w14:paraId="30C988B1" w14:textId="268804C1"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En virtud de lo anterior, </w:t>
      </w:r>
      <w:r w:rsidR="004A7C26">
        <w:rPr>
          <w:rFonts w:ascii="Garamond" w:hAnsi="Garamond"/>
          <w:sz w:val="22"/>
          <w:szCs w:val="22"/>
          <w:lang w:val="es-ES"/>
        </w:rPr>
        <w:t>«</w:t>
      </w:r>
      <w:r w:rsidRPr="004A7C26">
        <w:rPr>
          <w:rFonts w:ascii="Garamond" w:hAnsi="Garamond"/>
          <w:i/>
          <w:iCs/>
          <w:sz w:val="22"/>
          <w:szCs w:val="22"/>
          <w:lang w:val="es-ES"/>
        </w:rPr>
        <w:t>Jóvenes a la E</w:t>
      </w:r>
      <w:r w:rsidR="004A7C26">
        <w:rPr>
          <w:rFonts w:ascii="Garamond" w:hAnsi="Garamond"/>
          <w:sz w:val="22"/>
          <w:szCs w:val="22"/>
          <w:lang w:val="es-ES"/>
        </w:rPr>
        <w:t>»</w:t>
      </w:r>
      <w:r w:rsidRPr="00D268A4">
        <w:rPr>
          <w:rFonts w:ascii="Garamond" w:hAnsi="Garamond"/>
          <w:sz w:val="22"/>
          <w:szCs w:val="22"/>
          <w:lang w:val="es-ES"/>
        </w:rPr>
        <w:t xml:space="preserve"> es un programa para el acceso y la permanencia en la educación </w:t>
      </w:r>
      <w:proofErr w:type="spellStart"/>
      <w:r w:rsidRPr="00D268A4">
        <w:rPr>
          <w:rFonts w:ascii="Garamond" w:hAnsi="Garamond"/>
          <w:sz w:val="22"/>
          <w:szCs w:val="22"/>
          <w:lang w:val="es-ES"/>
        </w:rPr>
        <w:t>posmedia</w:t>
      </w:r>
      <w:proofErr w:type="spellEnd"/>
      <w:r w:rsidRPr="00D268A4">
        <w:rPr>
          <w:rFonts w:ascii="Garamond" w:hAnsi="Garamond"/>
          <w:sz w:val="22"/>
          <w:szCs w:val="22"/>
          <w:lang w:val="es-ES"/>
        </w:rPr>
        <w:t xml:space="preserve">, dirigido a jóvenes de hasta 28 años que hayan finalizado y/o aprobado la educación media, que financia el valor de la matrícula académica (en Instituciones de Educación Superior No Oficiales) o valor de referencia (en Instituciones de Educación Superior Oficiales), o el valor del programa de formación para el trabajo (en Instituciones de Educación Superior o Instituciones de Educación para el Trabajo  Desarrollo Humano) sin generar endeudamiento para las y los beneficiarios, y que otorga o gestiona apoyos económicos y/o en especie para promover la permanencia a lo largo de los programas educativos y formativos; además, contempla la realización de una pasantía social como forma de retribución social a la ciudad por los beneficios otorgados.   </w:t>
      </w:r>
    </w:p>
    <w:p w14:paraId="1D512ECB" w14:textId="0E9B4F86" w:rsidR="004A7C26" w:rsidRPr="004A7C26" w:rsidRDefault="004A7C26" w:rsidP="004A7C26">
      <w:pPr>
        <w:spacing w:line="240" w:lineRule="auto"/>
        <w:jc w:val="both"/>
        <w:rPr>
          <w:rFonts w:ascii="Garamond" w:hAnsi="Garamond"/>
          <w:sz w:val="22"/>
          <w:szCs w:val="22"/>
          <w:lang w:val="es-ES"/>
        </w:rPr>
      </w:pPr>
      <w:r w:rsidRPr="004A7C26">
        <w:rPr>
          <w:rFonts w:ascii="Garamond" w:hAnsi="Garamond"/>
          <w:sz w:val="22"/>
          <w:szCs w:val="22"/>
          <w:lang w:val="es-ES"/>
        </w:rPr>
        <w:t xml:space="preserve">Si bien el programa Jóvenes a la E se orienta primordialmente a mejorar las condiciones de acceso y permanencia de población joven en condición de vulnerabilidad, resulta necesario precisar que sus efectos trascienden ampliamente dichas variables. En efecto, la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despliega impactos de carácter multidimensional que se proyectan en tres planos complementarios. En el plano individual, contribuye a la consolidación del proyecto de vida de las y los jóvenes, favorece su inclusión social y productiva, incrementa su empleabilidad, fortalece su productividad, mejora sus expectativas de ingreso, incide positivamente en su salud y en la de su núcleo familiar, y robustece sus capacidades de resiliencia, adaptabilidad y toma de decisiones. En el plano económico, la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se traduce en mayores niveles de productividad laboral, fortalecimiento de la competitividad, dinamización del crecimiento y del desarrollo económico, así como en la reducción de condiciones estructurales de pobreza. En el plano social, sus efectos se reflejan en el mejoramiento del bienestar general del Distrito, en el fortalecimiento institucional de las entidades de educación y formación para responder con mayor pertinencia a las necesidades sociales y productivas de Bogotá, en el incremento de la participación ciudadana y de la cohesión social, y en la incidencia favorable sobre indicadores asociados a fertilidad y embarazo juvenil.</w:t>
      </w:r>
    </w:p>
    <w:p w14:paraId="27546EA3" w14:textId="01859CB8" w:rsidR="004A7C26" w:rsidRPr="004A7C26" w:rsidRDefault="004A7C26" w:rsidP="004A7C26">
      <w:pPr>
        <w:spacing w:line="240" w:lineRule="auto"/>
        <w:jc w:val="both"/>
        <w:rPr>
          <w:rFonts w:ascii="Garamond" w:hAnsi="Garamond"/>
          <w:sz w:val="22"/>
          <w:szCs w:val="22"/>
          <w:lang w:val="es-ES"/>
        </w:rPr>
      </w:pPr>
      <w:r w:rsidRPr="004A7C26">
        <w:rPr>
          <w:rFonts w:ascii="Garamond" w:hAnsi="Garamond"/>
          <w:sz w:val="22"/>
          <w:szCs w:val="22"/>
          <w:lang w:val="es-ES"/>
        </w:rPr>
        <w:t xml:space="preserve">En ese contexto, el PDD </w:t>
      </w:r>
      <w:r>
        <w:rPr>
          <w:rFonts w:ascii="Garamond" w:hAnsi="Garamond"/>
          <w:sz w:val="22"/>
          <w:szCs w:val="22"/>
          <w:lang w:val="es-ES"/>
        </w:rPr>
        <w:t>«</w:t>
      </w:r>
      <w:r w:rsidRPr="004A7C26">
        <w:rPr>
          <w:rFonts w:ascii="Garamond" w:hAnsi="Garamond"/>
          <w:i/>
          <w:iCs/>
          <w:sz w:val="22"/>
          <w:szCs w:val="22"/>
          <w:lang w:val="es-ES"/>
        </w:rPr>
        <w:t>Bogotá Camina Segura</w:t>
      </w:r>
      <w:r>
        <w:rPr>
          <w:rFonts w:ascii="Garamond" w:hAnsi="Garamond"/>
          <w:sz w:val="22"/>
          <w:szCs w:val="22"/>
          <w:lang w:val="es-ES"/>
        </w:rPr>
        <w:t>»</w:t>
      </w:r>
      <w:r w:rsidRPr="004A7C26">
        <w:rPr>
          <w:rFonts w:ascii="Garamond" w:hAnsi="Garamond"/>
          <w:sz w:val="22"/>
          <w:szCs w:val="22"/>
          <w:lang w:val="es-ES"/>
        </w:rPr>
        <w:t xml:space="preserve"> definió cinco objetivos estratégicos, dentro de los cuales cobra especial relevancia el objetivo </w:t>
      </w:r>
      <w:proofErr w:type="spellStart"/>
      <w:r>
        <w:rPr>
          <w:rFonts w:ascii="Garamond" w:hAnsi="Garamond"/>
          <w:sz w:val="22"/>
          <w:szCs w:val="22"/>
          <w:lang w:val="es-ES"/>
        </w:rPr>
        <w:t>N</w:t>
      </w:r>
      <w:r w:rsidRPr="004A7C26">
        <w:rPr>
          <w:rFonts w:ascii="Garamond" w:hAnsi="Garamond"/>
          <w:sz w:val="22"/>
          <w:szCs w:val="22"/>
          <w:lang w:val="es-ES"/>
        </w:rPr>
        <w:t>º</w:t>
      </w:r>
      <w:proofErr w:type="spellEnd"/>
      <w:r w:rsidRPr="004A7C26">
        <w:rPr>
          <w:rFonts w:ascii="Garamond" w:hAnsi="Garamond"/>
          <w:sz w:val="22"/>
          <w:szCs w:val="22"/>
          <w:lang w:val="es-ES"/>
        </w:rPr>
        <w:t xml:space="preserve"> 3,</w:t>
      </w:r>
      <w:r>
        <w:rPr>
          <w:rFonts w:ascii="Garamond" w:hAnsi="Garamond"/>
          <w:sz w:val="22"/>
          <w:szCs w:val="22"/>
          <w:lang w:val="es-ES"/>
        </w:rPr>
        <w:t xml:space="preserve"> «</w:t>
      </w:r>
      <w:r w:rsidRPr="004A7C26">
        <w:rPr>
          <w:rFonts w:ascii="Garamond" w:hAnsi="Garamond"/>
          <w:i/>
          <w:iCs/>
          <w:sz w:val="22"/>
          <w:szCs w:val="22"/>
          <w:lang w:val="es-ES"/>
        </w:rPr>
        <w:t>Bogotá confía en su potencial</w:t>
      </w:r>
      <w:r>
        <w:rPr>
          <w:rFonts w:ascii="Garamond" w:hAnsi="Garamond"/>
          <w:sz w:val="22"/>
          <w:szCs w:val="22"/>
          <w:lang w:val="es-ES"/>
        </w:rPr>
        <w:t>»</w:t>
      </w:r>
      <w:r w:rsidRPr="004A7C26">
        <w:rPr>
          <w:rFonts w:ascii="Garamond" w:hAnsi="Garamond"/>
          <w:sz w:val="22"/>
          <w:szCs w:val="22"/>
          <w:lang w:val="es-ES"/>
        </w:rPr>
        <w:t xml:space="preserve">. Este objetivo parte de la premisa según la cual Bogotá debe consolidarse como una ciudad en la que todas las personas puedan desarrollar y aprovechar plenamente sus capacidades, tanto en su dimensión individual como en su condición de integrantes de una familia y de partícipes activos de la sociedad, de las empresas y de la academia. Bajo esa </w:t>
      </w:r>
      <w:r w:rsidRPr="004A7C26">
        <w:rPr>
          <w:rFonts w:ascii="Garamond" w:hAnsi="Garamond"/>
          <w:sz w:val="22"/>
          <w:szCs w:val="22"/>
          <w:lang w:val="es-ES"/>
        </w:rPr>
        <w:lastRenderedPageBreak/>
        <w:t>orientación, el Plan concibe a Bogotá como una ciudad del conocimiento, de la educación y de la competitividad, estructurada sobre el acceso efectivo a bienes y servicios generadores de oportunidades, así como sobre la incorporación de la ciencia, la tecnología y la innovación como motores del aumento de la productividad, de la generación de empleo y emprendimiento, y del fortalecimiento del tejido empresarial, en armonía con las vocaciones individuales promovidas desde la niñez y en un entorno que incentive la generación y la apropiación social del conocimiento.</w:t>
      </w:r>
    </w:p>
    <w:p w14:paraId="4728A4D4" w14:textId="5C86A9D6" w:rsidR="004A7C26" w:rsidRPr="004A7C26" w:rsidRDefault="004A7C26" w:rsidP="004A7C26">
      <w:pPr>
        <w:spacing w:line="240" w:lineRule="auto"/>
        <w:jc w:val="both"/>
        <w:rPr>
          <w:rFonts w:ascii="Garamond" w:hAnsi="Garamond"/>
          <w:sz w:val="22"/>
          <w:szCs w:val="22"/>
          <w:lang w:val="es-ES"/>
        </w:rPr>
      </w:pPr>
      <w:r w:rsidRPr="004A7C26">
        <w:rPr>
          <w:rFonts w:ascii="Garamond" w:hAnsi="Garamond"/>
          <w:sz w:val="22"/>
          <w:szCs w:val="22"/>
          <w:lang w:val="es-ES"/>
        </w:rPr>
        <w:t>Particularmente, en lo que concierne a la línea de Educación y Formación para el Trabajo, desarrollada directamente o en articulación con la Estrategia Intersectorial para la Inclusión Social y Productiva – Jóvenes con Oportunidades de la actual Administración Distrital, la selección de aspirantes en las convocatorias cerradas adelantadas por la Secretaría Distrital de Integración Social, así como en las convocatorias abiertas desarrolladas por ATENEA, incorpora de manera expresa criterios asociados a vulnerabilidad económica y a otras condiciones de especial protección constitucional de la población joven. Esta orientación permite que el programa no solo opere como un mecanismo general de ampliación de oportunidades educativas, sino también como una herramienta focalizada de inclusión, orientada a remover barreras de acceso y permanencia que afectan con mayor intensidad a determinados grupos poblacionales.</w:t>
      </w:r>
    </w:p>
    <w:p w14:paraId="4FF6A6D2" w14:textId="7D48394C" w:rsidR="00D268A4" w:rsidRPr="00D268A4" w:rsidRDefault="004A7C26" w:rsidP="004A7C26">
      <w:pPr>
        <w:spacing w:line="240" w:lineRule="auto"/>
        <w:jc w:val="both"/>
        <w:rPr>
          <w:rFonts w:ascii="Garamond" w:hAnsi="Garamond"/>
          <w:sz w:val="22"/>
          <w:szCs w:val="22"/>
          <w:lang w:val="es-ES"/>
        </w:rPr>
      </w:pPr>
      <w:r w:rsidRPr="004A7C26">
        <w:rPr>
          <w:rFonts w:ascii="Garamond" w:hAnsi="Garamond"/>
          <w:sz w:val="22"/>
          <w:szCs w:val="22"/>
          <w:lang w:val="es-ES"/>
        </w:rPr>
        <w:t xml:space="preserve">La materialización del objetivo estratégico antes referido exige la implementación de diversas estrategias concurrentes, entre las cuales sobresalen dos. De una parte, la consolidación de la educación como derecho y como pilar del desarrollo presente y futuro, con capacidad para estructurar trayectorias de aprendizaje y generación de conocimiento acordes con los potenciales de las personas y con las necesidades actuales y prospectivas de la ciudad. De otra, el impulso de un proceso de transformación digital y de ciencia e innovación pública, concebido como la plataforma sobre la cual Bogotá continúe afianzándose como motor nacional de productividad y generación de conocimiento, al tiempo que proyecta su posicionamiento como una de las ciudades más competitivas de la región. Desde esta perspectiva, la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y la formación para el trabajo dejan de ser componentes aislados de política pública y pasan a constituirse en instrumentos estratégicos para el desarrollo humano, la movilidad social, la productividad territorial y la sostenibilidad del modelo de ciudad previsto en el Plan Distrital de Desarrollo.</w:t>
      </w:r>
    </w:p>
    <w:p w14:paraId="446AA047" w14:textId="352E6C4E"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Para el desarrollo de estas estrategias, el Plan de desarrollo Distrital establece un conjunto de programas, dentro de los cuales se encuentra el Programa 16: </w:t>
      </w:r>
      <w:r w:rsidR="004A7C26">
        <w:rPr>
          <w:rFonts w:ascii="Garamond" w:hAnsi="Garamond"/>
          <w:sz w:val="22"/>
          <w:szCs w:val="22"/>
          <w:lang w:val="es-ES"/>
        </w:rPr>
        <w:t>«</w:t>
      </w:r>
      <w:r w:rsidRPr="004A7C26">
        <w:rPr>
          <w:rFonts w:ascii="Garamond" w:hAnsi="Garamond"/>
          <w:i/>
          <w:iCs/>
          <w:sz w:val="22"/>
          <w:szCs w:val="22"/>
          <w:lang w:val="es-ES"/>
        </w:rPr>
        <w:t>La educación como eje del potencial humano</w:t>
      </w:r>
      <w:r w:rsidRPr="00D268A4">
        <w:rPr>
          <w:rFonts w:ascii="Garamond" w:hAnsi="Garamond"/>
          <w:sz w:val="22"/>
          <w:szCs w:val="22"/>
          <w:lang w:val="es-ES"/>
        </w:rPr>
        <w:t>”, a partir del cual:</w:t>
      </w:r>
    </w:p>
    <w:p w14:paraId="0727C4A7" w14:textId="7C946C8B" w:rsidR="00D268A4" w:rsidRPr="004A7C26" w:rsidRDefault="004A7C26" w:rsidP="004A7C26">
      <w:pPr>
        <w:spacing w:line="240" w:lineRule="auto"/>
        <w:ind w:left="1440"/>
        <w:jc w:val="both"/>
        <w:rPr>
          <w:rFonts w:ascii="Garamond" w:hAnsi="Garamond"/>
          <w:i/>
          <w:iCs/>
          <w:sz w:val="20"/>
          <w:szCs w:val="20"/>
          <w:lang w:val="es-ES"/>
        </w:rPr>
      </w:pPr>
      <w:r>
        <w:rPr>
          <w:rFonts w:ascii="Garamond" w:hAnsi="Garamond"/>
          <w:i/>
          <w:iCs/>
          <w:sz w:val="20"/>
          <w:szCs w:val="20"/>
          <w:lang w:val="es-ES"/>
        </w:rPr>
        <w:t>«</w:t>
      </w:r>
      <w:r w:rsidR="00D268A4" w:rsidRPr="004A7C26">
        <w:rPr>
          <w:rFonts w:ascii="Garamond" w:hAnsi="Garamond"/>
          <w:i/>
          <w:iCs/>
          <w:sz w:val="20"/>
          <w:szCs w:val="20"/>
          <w:lang w:val="es-ES"/>
        </w:rPr>
        <w:t xml:space="preserve">[…] Se fortalecerán los programas y estrategias encaminadas a mejorar el acceso, permanencia y graduación en la educación </w:t>
      </w:r>
      <w:proofErr w:type="spellStart"/>
      <w:r w:rsidR="00D268A4" w:rsidRPr="004A7C26">
        <w:rPr>
          <w:rFonts w:ascii="Garamond" w:hAnsi="Garamond"/>
          <w:i/>
          <w:iCs/>
          <w:sz w:val="20"/>
          <w:szCs w:val="20"/>
          <w:lang w:val="es-ES"/>
        </w:rPr>
        <w:t>posmedia</w:t>
      </w:r>
      <w:proofErr w:type="spellEnd"/>
      <w:r w:rsidR="00D268A4" w:rsidRPr="004A7C26">
        <w:rPr>
          <w:rFonts w:ascii="Garamond" w:hAnsi="Garamond"/>
          <w:i/>
          <w:iCs/>
          <w:sz w:val="20"/>
          <w:szCs w:val="20"/>
          <w:lang w:val="es-ES"/>
        </w:rPr>
        <w:t xml:space="preserve">, ampliando las oportunidades para que cada vez más jóvenes logren transitar desde la educación media a programas de educación superior, a la ETDH y a programas del Subsistema de formación para el trabajo, que sean pertinentes a las demandas sociales y productivas, y que se traduzcan en una mayor probabilidad de empleabilidad y generación de ingresos futuros, contribuyendo de esta forma a la construcción de una Bogotá basada en el conocimiento y la innovación. De igual forma, se propenderá por una mejor focalización de la población beneficiaria para que más jóvenes vulnerables y con mérito académico puedan acceder a la educación </w:t>
      </w:r>
      <w:proofErr w:type="spellStart"/>
      <w:r w:rsidR="00D268A4" w:rsidRPr="004A7C26">
        <w:rPr>
          <w:rFonts w:ascii="Garamond" w:hAnsi="Garamond"/>
          <w:i/>
          <w:iCs/>
          <w:sz w:val="20"/>
          <w:szCs w:val="20"/>
          <w:lang w:val="es-ES"/>
        </w:rPr>
        <w:t>posmedia</w:t>
      </w:r>
      <w:proofErr w:type="spellEnd"/>
      <w:r w:rsidR="00D268A4" w:rsidRPr="004A7C26">
        <w:rPr>
          <w:rFonts w:ascii="Garamond" w:hAnsi="Garamond"/>
          <w:i/>
          <w:iCs/>
          <w:sz w:val="20"/>
          <w:szCs w:val="20"/>
          <w:lang w:val="es-ES"/>
        </w:rPr>
        <w:t xml:space="preserve">. </w:t>
      </w:r>
    </w:p>
    <w:p w14:paraId="49E4F55E" w14:textId="329FDE69" w:rsidR="00D268A4" w:rsidRPr="004A7C26" w:rsidRDefault="00D268A4" w:rsidP="004A7C26">
      <w:pPr>
        <w:spacing w:line="240" w:lineRule="auto"/>
        <w:ind w:left="1440"/>
        <w:jc w:val="both"/>
        <w:rPr>
          <w:rFonts w:ascii="Garamond" w:hAnsi="Garamond"/>
          <w:i/>
          <w:iCs/>
          <w:sz w:val="20"/>
          <w:szCs w:val="20"/>
          <w:lang w:val="es-ES"/>
        </w:rPr>
      </w:pPr>
      <w:r w:rsidRPr="004A7C26">
        <w:rPr>
          <w:rFonts w:ascii="Garamond" w:hAnsi="Garamond"/>
          <w:i/>
          <w:iCs/>
          <w:sz w:val="20"/>
          <w:szCs w:val="20"/>
          <w:lang w:val="es-ES"/>
        </w:rPr>
        <w:t xml:space="preserve">Por otro lado, se establecerán mecanismos de financiación alternativos que, en conjunto con los recursos Distritales, permitirán una mayor sostenibilidad de los programas orientados a la educación </w:t>
      </w:r>
      <w:proofErr w:type="spellStart"/>
      <w:r w:rsidRPr="004A7C26">
        <w:rPr>
          <w:rFonts w:ascii="Garamond" w:hAnsi="Garamond"/>
          <w:i/>
          <w:iCs/>
          <w:sz w:val="20"/>
          <w:szCs w:val="20"/>
          <w:lang w:val="es-ES"/>
        </w:rPr>
        <w:t>posmedia</w:t>
      </w:r>
      <w:proofErr w:type="spellEnd"/>
      <w:r w:rsidRPr="004A7C26">
        <w:rPr>
          <w:rFonts w:ascii="Garamond" w:hAnsi="Garamond"/>
          <w:i/>
          <w:iCs/>
          <w:sz w:val="20"/>
          <w:szCs w:val="20"/>
          <w:lang w:val="es-ES"/>
        </w:rPr>
        <w:t xml:space="preserve">. En complemento de lo anterior, se potenciarán las estrategias de permanencia para los programas mencionados y se contará con una política pública de educación superior para el Distrito, que incluirá los procesos de articulación para el mejoramiento de la infraestructura de educación superior [...]. </w:t>
      </w:r>
    </w:p>
    <w:p w14:paraId="4DB8D8F5" w14:textId="7636BD4A" w:rsidR="00D268A4" w:rsidRPr="00D268A4" w:rsidRDefault="00D268A4" w:rsidP="004A7C26">
      <w:pPr>
        <w:spacing w:line="240" w:lineRule="auto"/>
        <w:ind w:left="1440"/>
        <w:jc w:val="both"/>
        <w:rPr>
          <w:rFonts w:ascii="Garamond" w:hAnsi="Garamond"/>
          <w:sz w:val="22"/>
          <w:szCs w:val="22"/>
          <w:lang w:val="es-ES"/>
        </w:rPr>
      </w:pPr>
      <w:r w:rsidRPr="004A7C26">
        <w:rPr>
          <w:rFonts w:ascii="Garamond" w:hAnsi="Garamond"/>
          <w:i/>
          <w:iCs/>
          <w:sz w:val="20"/>
          <w:szCs w:val="20"/>
          <w:lang w:val="es-ES"/>
        </w:rPr>
        <w:t>Los esquemas de financiación deben conectarse y articularse con la política de gratuidad nacional, para que los recursos de subsidios del Distrito se encaminen hacia el fortalecimiento de las instituciones de educación superior públicas y la ampliación de coberturas</w:t>
      </w:r>
      <w:r w:rsidR="004A7C26">
        <w:rPr>
          <w:rFonts w:ascii="Garamond" w:hAnsi="Garamond"/>
          <w:i/>
          <w:iCs/>
          <w:sz w:val="20"/>
          <w:szCs w:val="20"/>
          <w:lang w:val="es-ES"/>
        </w:rPr>
        <w:t>»</w:t>
      </w:r>
      <w:r w:rsidRPr="004A7C26">
        <w:rPr>
          <w:rFonts w:ascii="Garamond" w:hAnsi="Garamond"/>
          <w:i/>
          <w:iCs/>
          <w:sz w:val="20"/>
          <w:szCs w:val="20"/>
          <w:lang w:val="es-ES"/>
        </w:rPr>
        <w:t>.</w:t>
      </w:r>
    </w:p>
    <w:p w14:paraId="0024B5BE" w14:textId="07D73BA0"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Sumado a lo anterior, el Plan de desarrollo Distrital establece el Programa 17: </w:t>
      </w:r>
      <w:r w:rsidR="004A7C26">
        <w:rPr>
          <w:rFonts w:ascii="Garamond" w:hAnsi="Garamond"/>
          <w:sz w:val="22"/>
          <w:szCs w:val="22"/>
          <w:lang w:val="es-ES"/>
        </w:rPr>
        <w:t>«</w:t>
      </w:r>
      <w:r w:rsidRPr="004A7C26">
        <w:rPr>
          <w:rFonts w:ascii="Garamond" w:hAnsi="Garamond"/>
          <w:i/>
          <w:iCs/>
          <w:sz w:val="22"/>
          <w:szCs w:val="22"/>
          <w:lang w:val="es-ES"/>
        </w:rPr>
        <w:t>Formación para el trabajo y acceso a oportunidades educativas</w:t>
      </w:r>
      <w:r w:rsidR="004A7C26">
        <w:rPr>
          <w:rFonts w:ascii="Garamond" w:hAnsi="Garamond"/>
          <w:sz w:val="22"/>
          <w:szCs w:val="22"/>
          <w:lang w:val="es-ES"/>
        </w:rPr>
        <w:t>»</w:t>
      </w:r>
      <w:r w:rsidRPr="00D268A4">
        <w:rPr>
          <w:rFonts w:ascii="Garamond" w:hAnsi="Garamond"/>
          <w:sz w:val="22"/>
          <w:szCs w:val="22"/>
          <w:lang w:val="es-ES"/>
        </w:rPr>
        <w:t xml:space="preserve">, el cual: </w:t>
      </w:r>
    </w:p>
    <w:p w14:paraId="1B5CFD63" w14:textId="18A16732" w:rsidR="00D268A4" w:rsidRPr="004A7C26" w:rsidRDefault="004A7C26" w:rsidP="004A7C26">
      <w:pPr>
        <w:spacing w:line="240" w:lineRule="auto"/>
        <w:ind w:left="1440"/>
        <w:jc w:val="both"/>
        <w:rPr>
          <w:rFonts w:ascii="Garamond" w:hAnsi="Garamond"/>
          <w:i/>
          <w:iCs/>
          <w:sz w:val="20"/>
          <w:szCs w:val="20"/>
          <w:lang w:val="es-ES"/>
        </w:rPr>
      </w:pPr>
      <w:r>
        <w:rPr>
          <w:rFonts w:ascii="Garamond" w:hAnsi="Garamond"/>
          <w:i/>
          <w:iCs/>
          <w:sz w:val="20"/>
          <w:szCs w:val="20"/>
          <w:lang w:val="es-ES"/>
        </w:rPr>
        <w:t>«</w:t>
      </w:r>
      <w:r w:rsidR="00D268A4" w:rsidRPr="004A7C26">
        <w:rPr>
          <w:rFonts w:ascii="Garamond" w:hAnsi="Garamond"/>
          <w:i/>
          <w:iCs/>
          <w:sz w:val="20"/>
          <w:szCs w:val="20"/>
          <w:lang w:val="es-ES"/>
        </w:rPr>
        <w:t xml:space="preserve">[…] busca ofrecer cursos cortos de formación considerando las demandas de las cadenas productivas, los ecosistemas de innovación y emprendimiento empresarial, tanto locales como regionales, a través de una red de actores compuesta por los sectores público, privado, empresarial y la academia que redunde en la ampliación y reestructuración de la oferta y acceso a la financiación a los programas de educación </w:t>
      </w:r>
      <w:proofErr w:type="spellStart"/>
      <w:r w:rsidR="00D268A4" w:rsidRPr="004A7C26">
        <w:rPr>
          <w:rFonts w:ascii="Garamond" w:hAnsi="Garamond"/>
          <w:i/>
          <w:iCs/>
          <w:sz w:val="20"/>
          <w:szCs w:val="20"/>
          <w:lang w:val="es-ES"/>
        </w:rPr>
        <w:t>posmedia</w:t>
      </w:r>
      <w:proofErr w:type="spellEnd"/>
      <w:r w:rsidR="00D268A4" w:rsidRPr="004A7C26">
        <w:rPr>
          <w:rFonts w:ascii="Garamond" w:hAnsi="Garamond"/>
          <w:i/>
          <w:iCs/>
          <w:sz w:val="20"/>
          <w:szCs w:val="20"/>
          <w:lang w:val="es-ES"/>
        </w:rPr>
        <w:t>, como preámbulo a su vínculo laboral y productivo en la ciudad.</w:t>
      </w:r>
    </w:p>
    <w:p w14:paraId="59717DC1" w14:textId="77777777" w:rsidR="00D268A4" w:rsidRPr="004A7C26" w:rsidRDefault="00D268A4" w:rsidP="004A7C26">
      <w:pPr>
        <w:spacing w:line="240" w:lineRule="auto"/>
        <w:ind w:left="1440"/>
        <w:jc w:val="both"/>
        <w:rPr>
          <w:rFonts w:ascii="Garamond" w:hAnsi="Garamond"/>
          <w:i/>
          <w:iCs/>
          <w:sz w:val="20"/>
          <w:szCs w:val="20"/>
          <w:lang w:val="es-ES"/>
        </w:rPr>
      </w:pPr>
      <w:r w:rsidRPr="004A7C26">
        <w:rPr>
          <w:rFonts w:ascii="Garamond" w:hAnsi="Garamond"/>
          <w:i/>
          <w:iCs/>
          <w:sz w:val="20"/>
          <w:szCs w:val="20"/>
          <w:lang w:val="es-ES"/>
        </w:rPr>
        <w:t xml:space="preserve">Para ello, se generarán mecanismos alternativos de recursos que favorezcan principalmente a jóvenes que transitan de forma inmediata desde la educación media. Se les brindará ofertas institucionales de transferencias monetarias </w:t>
      </w:r>
      <w:r w:rsidRPr="004A7C26">
        <w:rPr>
          <w:rFonts w:ascii="Garamond" w:hAnsi="Garamond"/>
          <w:i/>
          <w:iCs/>
          <w:sz w:val="20"/>
          <w:szCs w:val="20"/>
          <w:lang w:val="es-ES"/>
        </w:rPr>
        <w:lastRenderedPageBreak/>
        <w:t>(principalmente condicionadas […]); implementación de esquemas unificados de focalización en las iniciativas de inclusión social y productiva; mecanismos de sostenimiento que permitan culminar satisfactoriamente los estudios, y rutas claras de empleo y empleabilidad, a fin de que la trayectoria educativa culmine hacia oficios, ocupaciones o profesiones que incrementen las posibilidades de empleabilidad.</w:t>
      </w:r>
    </w:p>
    <w:p w14:paraId="71F24594" w14:textId="77777777" w:rsidR="00D268A4" w:rsidRPr="004A7C26" w:rsidRDefault="00D268A4" w:rsidP="004A7C26">
      <w:pPr>
        <w:spacing w:line="240" w:lineRule="auto"/>
        <w:ind w:left="1440"/>
        <w:jc w:val="both"/>
        <w:rPr>
          <w:rFonts w:ascii="Garamond" w:hAnsi="Garamond"/>
          <w:i/>
          <w:iCs/>
          <w:sz w:val="20"/>
          <w:szCs w:val="20"/>
          <w:lang w:val="es-ES"/>
        </w:rPr>
      </w:pPr>
      <w:r w:rsidRPr="004A7C26">
        <w:rPr>
          <w:rFonts w:ascii="Garamond" w:hAnsi="Garamond"/>
          <w:i/>
          <w:iCs/>
          <w:sz w:val="20"/>
          <w:szCs w:val="20"/>
          <w:lang w:val="es-ES"/>
        </w:rPr>
        <w:t>[…]</w:t>
      </w:r>
    </w:p>
    <w:p w14:paraId="76643141" w14:textId="77777777" w:rsidR="00D268A4" w:rsidRPr="004A7C26" w:rsidRDefault="00D268A4" w:rsidP="004A7C26">
      <w:pPr>
        <w:spacing w:line="240" w:lineRule="auto"/>
        <w:ind w:left="1440"/>
        <w:jc w:val="both"/>
        <w:rPr>
          <w:rFonts w:ascii="Garamond" w:hAnsi="Garamond"/>
          <w:i/>
          <w:iCs/>
          <w:sz w:val="20"/>
          <w:szCs w:val="20"/>
          <w:lang w:val="es-ES"/>
        </w:rPr>
      </w:pPr>
      <w:r w:rsidRPr="004A7C26">
        <w:rPr>
          <w:rFonts w:ascii="Garamond" w:hAnsi="Garamond"/>
          <w:i/>
          <w:iCs/>
          <w:sz w:val="20"/>
          <w:szCs w:val="20"/>
          <w:lang w:val="es-ES"/>
        </w:rPr>
        <w:t>Igualmente, se desarrollarán servicios de formación y modelos de aprendizaje adaptativos para la recualificación y/o reconversión laboral de las personas hacia los sectores más dinámicos del mercado de trabajo, así como la formación para proyectos de base tecnológica basados en nuevas tecnologías.</w:t>
      </w:r>
    </w:p>
    <w:p w14:paraId="7CC2796E" w14:textId="77777777" w:rsidR="00D268A4" w:rsidRPr="004A7C26" w:rsidRDefault="00D268A4" w:rsidP="004A7C26">
      <w:pPr>
        <w:spacing w:line="240" w:lineRule="auto"/>
        <w:ind w:left="1440"/>
        <w:jc w:val="both"/>
        <w:rPr>
          <w:rFonts w:ascii="Garamond" w:hAnsi="Garamond"/>
          <w:i/>
          <w:iCs/>
          <w:sz w:val="20"/>
          <w:szCs w:val="20"/>
          <w:lang w:val="es-ES"/>
        </w:rPr>
      </w:pPr>
      <w:r w:rsidRPr="004A7C26">
        <w:rPr>
          <w:rFonts w:ascii="Garamond" w:hAnsi="Garamond"/>
          <w:i/>
          <w:iCs/>
          <w:sz w:val="20"/>
          <w:szCs w:val="20"/>
          <w:lang w:val="es-ES"/>
        </w:rPr>
        <w:t>[…]</w:t>
      </w:r>
    </w:p>
    <w:p w14:paraId="4BB963AD" w14:textId="77777777" w:rsidR="00D268A4" w:rsidRPr="004A7C26" w:rsidRDefault="00D268A4" w:rsidP="004A7C26">
      <w:pPr>
        <w:spacing w:line="240" w:lineRule="auto"/>
        <w:ind w:left="1440"/>
        <w:jc w:val="both"/>
        <w:rPr>
          <w:rFonts w:ascii="Garamond" w:hAnsi="Garamond"/>
          <w:i/>
          <w:iCs/>
          <w:sz w:val="20"/>
          <w:szCs w:val="20"/>
          <w:lang w:val="es-ES"/>
        </w:rPr>
      </w:pPr>
      <w:r w:rsidRPr="004A7C26">
        <w:rPr>
          <w:rFonts w:ascii="Garamond" w:hAnsi="Garamond"/>
          <w:i/>
          <w:iCs/>
          <w:sz w:val="20"/>
          <w:szCs w:val="20"/>
          <w:lang w:val="es-ES"/>
        </w:rPr>
        <w:t>Esto también se logrará con ofertas cualificadas de ETDH, por lo que es necesario acompañar estas estrategias con un modelo de aseguramiento para este nivel de educación que lo encamine hacia la calidad.</w:t>
      </w:r>
    </w:p>
    <w:p w14:paraId="2231C149" w14:textId="0A1CC2E5" w:rsidR="00D268A4" w:rsidRPr="004A7C26" w:rsidRDefault="00D268A4" w:rsidP="004A7C26">
      <w:pPr>
        <w:spacing w:line="240" w:lineRule="auto"/>
        <w:ind w:left="1440"/>
        <w:jc w:val="both"/>
        <w:rPr>
          <w:rFonts w:ascii="Garamond" w:hAnsi="Garamond"/>
          <w:sz w:val="22"/>
          <w:szCs w:val="22"/>
          <w:lang w:val="es-ES"/>
        </w:rPr>
      </w:pPr>
      <w:r w:rsidRPr="004A7C26">
        <w:rPr>
          <w:rFonts w:ascii="Garamond" w:hAnsi="Garamond"/>
          <w:i/>
          <w:iCs/>
          <w:sz w:val="20"/>
          <w:szCs w:val="20"/>
          <w:lang w:val="es-ES"/>
        </w:rPr>
        <w:t>[…]</w:t>
      </w:r>
      <w:r w:rsidR="004A7C26">
        <w:rPr>
          <w:rFonts w:ascii="Garamond" w:hAnsi="Garamond"/>
          <w:i/>
          <w:iCs/>
          <w:sz w:val="20"/>
          <w:szCs w:val="20"/>
          <w:lang w:val="es-ES"/>
        </w:rPr>
        <w:t>»</w:t>
      </w:r>
      <w:r w:rsidR="004A7C26">
        <w:rPr>
          <w:rFonts w:ascii="Garamond" w:hAnsi="Garamond"/>
          <w:sz w:val="20"/>
          <w:szCs w:val="20"/>
          <w:lang w:val="es-ES"/>
        </w:rPr>
        <w:t xml:space="preserve">. </w:t>
      </w:r>
    </w:p>
    <w:p w14:paraId="2A829481" w14:textId="6D34F9C4" w:rsidR="004A7C26" w:rsidRPr="004A7C26" w:rsidRDefault="004A7C26" w:rsidP="004A7C26">
      <w:pPr>
        <w:spacing w:line="240" w:lineRule="auto"/>
        <w:jc w:val="both"/>
        <w:rPr>
          <w:rFonts w:ascii="Garamond" w:hAnsi="Garamond"/>
          <w:sz w:val="22"/>
          <w:szCs w:val="22"/>
          <w:lang w:val="es-ES"/>
        </w:rPr>
      </w:pPr>
      <w:r w:rsidRPr="004A7C26">
        <w:rPr>
          <w:rFonts w:ascii="Garamond" w:hAnsi="Garamond"/>
          <w:sz w:val="22"/>
          <w:szCs w:val="22"/>
          <w:lang w:val="es-ES"/>
        </w:rPr>
        <w:t xml:space="preserve">En virtud de lo anterior, a la Agencia Distrital para la Educación Superior, la Ciencia y la Tecnología – ATENEA le corresponde, entre otras funciones: i) liderar, acompañar y brindar soporte técnico en la formulación y ejecución de las políticas, planes, programas y proyectos distritales en materia de acceso, permanencia y pertinencia de la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w:t>
      </w:r>
      <w:proofErr w:type="spellStart"/>
      <w:r w:rsidRPr="004A7C26">
        <w:rPr>
          <w:rFonts w:ascii="Garamond" w:hAnsi="Garamond"/>
          <w:sz w:val="22"/>
          <w:szCs w:val="22"/>
          <w:lang w:val="es-ES"/>
        </w:rPr>
        <w:t>ii</w:t>
      </w:r>
      <w:proofErr w:type="spellEnd"/>
      <w:r w:rsidRPr="004A7C26">
        <w:rPr>
          <w:rFonts w:ascii="Garamond" w:hAnsi="Garamond"/>
          <w:sz w:val="22"/>
          <w:szCs w:val="22"/>
          <w:lang w:val="es-ES"/>
        </w:rPr>
        <w:t xml:space="preserve">) coordinar el Sistema Distrital de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entendido como el esquema de articulación entre la educación media, la educación para el trabajo y el desarrollo humano, la educación informal, la certificación de competencias y la educación superior, con el propósito de promover el desarrollo sostenible de la ciudad y contribuir al cierre de brechas; </w:t>
      </w:r>
      <w:proofErr w:type="spellStart"/>
      <w:r w:rsidRPr="004A7C26">
        <w:rPr>
          <w:rFonts w:ascii="Garamond" w:hAnsi="Garamond"/>
          <w:sz w:val="22"/>
          <w:szCs w:val="22"/>
          <w:lang w:val="es-ES"/>
        </w:rPr>
        <w:t>iii</w:t>
      </w:r>
      <w:proofErr w:type="spellEnd"/>
      <w:r w:rsidRPr="004A7C26">
        <w:rPr>
          <w:rFonts w:ascii="Garamond" w:hAnsi="Garamond"/>
          <w:sz w:val="22"/>
          <w:szCs w:val="22"/>
          <w:lang w:val="es-ES"/>
        </w:rPr>
        <w:t xml:space="preserve">) suscribir convenios, asociarse o conformar esquemas asociativos con entidades públicas de cualquier nivel de gobierno o con personas de derecho privado, así como efectuar las transferencias o aportes a que haya lugar, con sujeción a lo dispuesto en la Ley 489 de 1998, el Acuerdo 257 de 2006 y las demás disposiciones que modifiquen, adicionen o regulen la materia; y </w:t>
      </w:r>
      <w:proofErr w:type="spellStart"/>
      <w:r w:rsidRPr="004A7C26">
        <w:rPr>
          <w:rFonts w:ascii="Garamond" w:hAnsi="Garamond"/>
          <w:sz w:val="22"/>
          <w:szCs w:val="22"/>
          <w:lang w:val="es-ES"/>
        </w:rPr>
        <w:t>iv</w:t>
      </w:r>
      <w:proofErr w:type="spellEnd"/>
      <w:r w:rsidRPr="004A7C26">
        <w:rPr>
          <w:rFonts w:ascii="Garamond" w:hAnsi="Garamond"/>
          <w:sz w:val="22"/>
          <w:szCs w:val="22"/>
          <w:lang w:val="es-ES"/>
        </w:rPr>
        <w:t>) celebrar toda clase de actos y negocios jurídicos relacionados con su objeto o que faciliten su ejecución, así como aquellos necesarios para el ejercicio de sus funciones y el cumplimiento de sus obligaciones.</w:t>
      </w:r>
    </w:p>
    <w:p w14:paraId="5343CB2B" w14:textId="7FA24B6B" w:rsidR="004A7C26" w:rsidRDefault="004A7C26" w:rsidP="00D268A4">
      <w:pPr>
        <w:spacing w:line="240" w:lineRule="auto"/>
        <w:jc w:val="both"/>
        <w:rPr>
          <w:rFonts w:ascii="Garamond" w:hAnsi="Garamond"/>
          <w:sz w:val="22"/>
          <w:szCs w:val="22"/>
          <w:lang w:val="es-ES"/>
        </w:rPr>
      </w:pPr>
      <w:r w:rsidRPr="004A7C26">
        <w:rPr>
          <w:rFonts w:ascii="Garamond" w:hAnsi="Garamond"/>
          <w:sz w:val="22"/>
          <w:szCs w:val="22"/>
          <w:lang w:val="es-ES"/>
        </w:rPr>
        <w:t xml:space="preserve">En ese marco, el programa Jóvenes a la E tiene por finalidad promover el acceso y la permanencia en la educación </w:t>
      </w:r>
      <w:proofErr w:type="spellStart"/>
      <w:r w:rsidRPr="004A7C26">
        <w:rPr>
          <w:rFonts w:ascii="Garamond" w:hAnsi="Garamond"/>
          <w:sz w:val="22"/>
          <w:szCs w:val="22"/>
          <w:lang w:val="es-ES"/>
        </w:rPr>
        <w:t>posmedia</w:t>
      </w:r>
      <w:proofErr w:type="spellEnd"/>
      <w:r w:rsidRPr="004A7C26">
        <w:rPr>
          <w:rFonts w:ascii="Garamond" w:hAnsi="Garamond"/>
          <w:sz w:val="22"/>
          <w:szCs w:val="22"/>
          <w:lang w:val="es-ES"/>
        </w:rPr>
        <w:t xml:space="preserve"> en condiciones de gratuidad para la población beneficiaria. Para tal efecto, la Agencia Distrital para la Educación Superior, la Ciencia y la Tecnología – ATENEA y los Fondos de Desarrollo Local, en articulación con Instituciones de Educación Superior – IES, concurren con los aportes requeridos para cubrir los costos de matrícula y los componentes asociados al sostenimiento de la trayectoria educativa, garantizando así el acceso y la permanencia de las y los beneficiarios admitidos en los distintos programas ofertados por instituciones de educación superior públicas y privadas.</w:t>
      </w:r>
    </w:p>
    <w:p w14:paraId="4C37F2AE" w14:textId="0EAB0DF9"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En relación con la financiación de estos programas, el artículo 12 del Acuerdo 927 de 2024, estipula que:  </w:t>
      </w:r>
    </w:p>
    <w:p w14:paraId="1965D627" w14:textId="210099AE" w:rsidR="00D268A4" w:rsidRPr="004A7C26" w:rsidRDefault="004A7C26" w:rsidP="004A7C26">
      <w:pPr>
        <w:spacing w:line="240" w:lineRule="auto"/>
        <w:ind w:left="1440"/>
        <w:jc w:val="both"/>
        <w:rPr>
          <w:rFonts w:ascii="Garamond" w:hAnsi="Garamond"/>
          <w:i/>
          <w:iCs/>
          <w:sz w:val="20"/>
          <w:szCs w:val="20"/>
          <w:lang w:val="es-ES"/>
        </w:rPr>
      </w:pPr>
      <w:r>
        <w:rPr>
          <w:rFonts w:ascii="Garamond" w:hAnsi="Garamond"/>
          <w:i/>
          <w:iCs/>
          <w:sz w:val="20"/>
          <w:szCs w:val="20"/>
          <w:lang w:val="es-ES"/>
        </w:rPr>
        <w:t>«</w:t>
      </w:r>
      <w:r w:rsidR="00D268A4" w:rsidRPr="004A7C26">
        <w:rPr>
          <w:rFonts w:ascii="Garamond" w:hAnsi="Garamond"/>
          <w:i/>
          <w:iCs/>
          <w:sz w:val="20"/>
          <w:szCs w:val="20"/>
          <w:lang w:val="es-ES"/>
        </w:rPr>
        <w:t xml:space="preserve">[…] se establecerán mecanismos de financiación alternativos que, en conjunto con los recursos Distritales, permitirán una mayor sostenibilidad de los programas orientados a la educación </w:t>
      </w:r>
      <w:proofErr w:type="spellStart"/>
      <w:r w:rsidR="00D268A4" w:rsidRPr="004A7C26">
        <w:rPr>
          <w:rFonts w:ascii="Garamond" w:hAnsi="Garamond"/>
          <w:i/>
          <w:iCs/>
          <w:sz w:val="20"/>
          <w:szCs w:val="20"/>
          <w:lang w:val="es-ES"/>
        </w:rPr>
        <w:t>posmedia</w:t>
      </w:r>
      <w:proofErr w:type="spellEnd"/>
      <w:r w:rsidR="00D268A4" w:rsidRPr="004A7C26">
        <w:rPr>
          <w:rFonts w:ascii="Garamond" w:hAnsi="Garamond"/>
          <w:i/>
          <w:iCs/>
          <w:sz w:val="20"/>
          <w:szCs w:val="20"/>
          <w:lang w:val="es-ES"/>
        </w:rPr>
        <w:t>. En complemento de lo anterior, se potencializarán las estrategias de permanencia para los programas mencionados y se contará con una política pública de educación superior para el Distrito, que incluirá los procesos de articulación para el mejoramiento de la infraestructura de educación superior en conjunto con el Gobierno nacional. Los esquemas de financiación deben conectarse y articularse con la política de gratuidad nacional, para que los recursos de subsidios del Distrito se encaminen hacia el fortalecimiento de las instituciones de educación superior públicas y la ampliación de coberturas, lo que se suma a las estrategias para fortalecer la Universidad Distrital y fomentar planes de mejoramiento que le permitan enfocar sus esfuerzos en la oferta de programas con mayor demanda</w:t>
      </w:r>
      <w:r>
        <w:rPr>
          <w:rFonts w:ascii="Garamond" w:hAnsi="Garamond"/>
          <w:i/>
          <w:iCs/>
          <w:sz w:val="20"/>
          <w:szCs w:val="20"/>
          <w:lang w:val="es-ES"/>
        </w:rPr>
        <w:t>»</w:t>
      </w:r>
      <w:r w:rsidR="00D268A4" w:rsidRPr="004A7C26">
        <w:rPr>
          <w:rFonts w:ascii="Garamond" w:hAnsi="Garamond"/>
          <w:i/>
          <w:iCs/>
          <w:sz w:val="20"/>
          <w:szCs w:val="20"/>
          <w:lang w:val="es-ES"/>
        </w:rPr>
        <w:t xml:space="preserve">. </w:t>
      </w:r>
    </w:p>
    <w:p w14:paraId="7EF50864" w14:textId="77777777"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El financiamiento de las Instituciones de Educación Superior (IES) públicas en Colombia ha evolucionado a través de un marco normativo y de política pública orientado a garantizar la calidad, sostenibilidad y pertinencia de la educación superior. Si bien el nivel nacional asegura los recursos necesarios para su operación y sostenibilidad a través de normativas como la Ley 30 de 1992, la Ley 115 de 1994 y el Decreto 1075 de 2015, estas mismas normativas han permitido complementar estos esfuerzos al promover la participación de las entidades territoriales en el fortalecimiento del sistema educativo superior. Esta articulación entre niveles busca potenciar los recursos, mejorar la infraestructura, y adaptar la oferta educativa a las necesidades locales, fortaleciendo así la conexión entre la educación superior, el mercado laboral y las prioridades sociales de cada región. </w:t>
      </w:r>
    </w:p>
    <w:p w14:paraId="2697E2D5" w14:textId="77777777"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lastRenderedPageBreak/>
        <w:t xml:space="preserve">A nivel distrital, se han realizado esfuerzos significativos para garantizar el acceso de los jóvenes a la educación superior. Estas iniciativas se han centrado principalmente en fomentar la financiación de programas en la IES públicas y ofrecer apoyos económicos que permitan a los jóvenes superar las barreras de acceso. Estos esfuerzos, han buscado ampliar el acceso a estas instituciones superando barreras económicas y sociales. A través de fondos como el FEST (Fondo Distrital para la Financiación de la Educación Superior) y los Fondos de Desarrollo Local (FDL), el Distrito ha logrado financiar el acceso a la educación superior, contribuyendo a la ampliación de la cobertura educativa. </w:t>
      </w:r>
    </w:p>
    <w:p w14:paraId="27DA50C2" w14:textId="77777777"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Normativas posteriores han ajustado y ampliado el marco regulatorio del financiamiento. El Decreto 1246 de 2015 estableció criterios para la asignación y distribución de recursos hacia las IES públicas, garantizando que estas cuenten con el financiamiento necesario para su sostenibilidad. Por su parte, el Decreto 1330 de 2019 actualizó las disposiciones del Decreto 1075 de 2015, vinculando de manera más estrecha los recursos asignados con indicadores de calidad y desempeño académico, reforzando la evaluación institucional como un criterio clave para la asignación. De esta manera, la normativa nacional ha consolidado un marco de financiamiento nacional para las IES públicas que busca asegurar la suficiencia, estabilidad y eficiencia, enfocado en promover la calidad educativa y el desempeño institucional.  </w:t>
      </w:r>
    </w:p>
    <w:p w14:paraId="55BB504D" w14:textId="77777777" w:rsidR="00D268A4" w:rsidRP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 xml:space="preserve">A pesar de lo anterior, las IES públicas han enfrentado desafíos para asegurar que el financiamiento asignado por el nivel nacional sea suficiente para garantizar su sostenibilidad financiera. Este financiamiento es fundamental para facilitar el acceso a la educación </w:t>
      </w:r>
      <w:proofErr w:type="spellStart"/>
      <w:r w:rsidRPr="00D268A4">
        <w:rPr>
          <w:rFonts w:ascii="Garamond" w:hAnsi="Garamond"/>
          <w:sz w:val="22"/>
          <w:szCs w:val="22"/>
          <w:lang w:val="es-ES"/>
        </w:rPr>
        <w:t>posmedia</w:t>
      </w:r>
      <w:proofErr w:type="spellEnd"/>
      <w:r w:rsidRPr="00D268A4">
        <w:rPr>
          <w:rFonts w:ascii="Garamond" w:hAnsi="Garamond"/>
          <w:sz w:val="22"/>
          <w:szCs w:val="22"/>
          <w:lang w:val="es-ES"/>
        </w:rPr>
        <w:t xml:space="preserve"> de los jóvenes, promover su permanencia en el sistema de educación superior y garantizar la calidad de la educación y el fortalecimiento de la investigación. Dada esta situación, el nivel nacional ha realizado esfuerzos adicionales centrados en ampliar el acceso a la educación superior, principalmente mediante el financiamiento de la demanda, pero con iniciativas de financiamiento a la oferta. </w:t>
      </w:r>
    </w:p>
    <w:p w14:paraId="5D00F70B" w14:textId="74738807" w:rsidR="00D268A4" w:rsidRDefault="00D268A4" w:rsidP="00D268A4">
      <w:pPr>
        <w:spacing w:line="240" w:lineRule="auto"/>
        <w:jc w:val="both"/>
        <w:rPr>
          <w:rFonts w:ascii="Garamond" w:hAnsi="Garamond"/>
          <w:sz w:val="22"/>
          <w:szCs w:val="22"/>
          <w:lang w:val="es-ES"/>
        </w:rPr>
      </w:pPr>
      <w:r w:rsidRPr="00D268A4">
        <w:rPr>
          <w:rFonts w:ascii="Garamond" w:hAnsi="Garamond"/>
          <w:sz w:val="22"/>
          <w:szCs w:val="22"/>
          <w:lang w:val="es-ES"/>
        </w:rPr>
        <w:t>En línea con el Plan de Desarrollo Local, se prevé la financiación completa de la formación, de acuerdo con los niveles técnico profesional, tecnológico y profesional universitario, mediante una o más convocatorias, con cargo a los recursos que traslade el Fondo de Desarrollo Local (FDL) a ATENEA en esta vigencia fiscal. As</w:t>
      </w:r>
      <w:r w:rsidR="004A7C26">
        <w:rPr>
          <w:rFonts w:ascii="Garamond" w:hAnsi="Garamond"/>
          <w:sz w:val="22"/>
          <w:szCs w:val="22"/>
          <w:lang w:val="es-ES"/>
        </w:rPr>
        <w:t>i</w:t>
      </w:r>
      <w:r w:rsidRPr="00D268A4">
        <w:rPr>
          <w:rFonts w:ascii="Garamond" w:hAnsi="Garamond"/>
          <w:sz w:val="22"/>
          <w:szCs w:val="22"/>
          <w:lang w:val="es-ES"/>
        </w:rPr>
        <w:t>mismo, se financiará con cargo a este recurso, el apoyo de sostenimiento en los términos y periodos establecidos por la disponibilidad del presupuesto del FDL.</w:t>
      </w:r>
    </w:p>
    <w:p w14:paraId="503B271A" w14:textId="77777777" w:rsidR="00F61AF8" w:rsidRPr="00F61AF8" w:rsidRDefault="00F61AF8" w:rsidP="00F61AF8">
      <w:pPr>
        <w:spacing w:line="240" w:lineRule="auto"/>
        <w:jc w:val="both"/>
        <w:rPr>
          <w:rFonts w:ascii="Garamond" w:hAnsi="Garamond"/>
          <w:sz w:val="22"/>
          <w:szCs w:val="22"/>
          <w:lang w:val="es-ES_tradnl"/>
        </w:rPr>
      </w:pPr>
      <w:r w:rsidRPr="00F61AF8">
        <w:rPr>
          <w:rFonts w:ascii="Garamond" w:hAnsi="Garamond"/>
          <w:sz w:val="22"/>
          <w:szCs w:val="22"/>
          <w:lang w:val="es-ES_tradnl"/>
        </w:rPr>
        <w:t>Los recursos del presente convenio interadministrativo se destinarán exclusivamente a financiar el valor de la matrícula correspondiente a cada semestre académico, conforme al programa seleccionado por la persona beneficiaria, o, según corresponda, los valores de referencia aplicables a instituciones de educación superior públicas o privadas, así como el apoyo de sostenimiento o permanencia previsto en el respectivo esquema operativo. En consecuencia, cualquier costo pecuniario adicional que exceda dichos conceptos podrá integrar la contraprestación a cargo de la institución de educación superior respectiva o, en su defecto, ser asumido por la persona beneficiaria. De igual manera, el valor de la matrícula o los valores de referencia no comprenderán cursos, diplomados, formación en segunda lengua ni otros componentes ajenos al plan de estudios del programa en el cual haya sido admitida la persona beneficiaria, y, en todo caso, su cobertura se sujetará estrictamente a lo previsto en el Manual Operativo del programa Jóvenes a la E.</w:t>
      </w:r>
    </w:p>
    <w:p w14:paraId="2F4549E2" w14:textId="77777777" w:rsidR="00F61AF8" w:rsidRPr="00F61AF8" w:rsidRDefault="00F61AF8" w:rsidP="00F61AF8">
      <w:pPr>
        <w:spacing w:line="240" w:lineRule="auto"/>
        <w:jc w:val="both"/>
        <w:rPr>
          <w:rFonts w:ascii="Garamond" w:hAnsi="Garamond"/>
          <w:sz w:val="22"/>
          <w:szCs w:val="22"/>
          <w:lang w:val="es-ES_tradnl"/>
        </w:rPr>
      </w:pPr>
      <w:r w:rsidRPr="00F61AF8">
        <w:rPr>
          <w:rFonts w:ascii="Garamond" w:hAnsi="Garamond"/>
          <w:sz w:val="22"/>
          <w:szCs w:val="22"/>
          <w:lang w:val="es-ES_tradnl"/>
        </w:rPr>
        <w:t>Para los efectos del programa, y de conformidad con el Manual Operativo de Jóvenes a la E, el valor de matrícula corresponde al costo del servicio de formación académica fijado en los derechos pecuniarios, o en el documento equivalente, debidamente aprobado por la respectiva institución de educación superior para la vigencia correspondiente.</w:t>
      </w:r>
    </w:p>
    <w:p w14:paraId="23FB0E1B" w14:textId="77777777" w:rsidR="00F61AF8" w:rsidRPr="00F61AF8" w:rsidRDefault="00F61AF8" w:rsidP="00F61AF8">
      <w:pPr>
        <w:spacing w:line="240" w:lineRule="auto"/>
        <w:jc w:val="both"/>
        <w:rPr>
          <w:rFonts w:ascii="Garamond" w:hAnsi="Garamond"/>
          <w:sz w:val="22"/>
          <w:szCs w:val="22"/>
          <w:lang w:val="es-ES_tradnl"/>
        </w:rPr>
      </w:pPr>
      <w:r w:rsidRPr="00F61AF8">
        <w:rPr>
          <w:rFonts w:ascii="Garamond" w:hAnsi="Garamond"/>
          <w:sz w:val="22"/>
          <w:szCs w:val="22"/>
          <w:lang w:val="es-ES_tradnl"/>
        </w:rPr>
        <w:t xml:space="preserve">Ahora bien, el marco normativo nacional reconoce a las y los jóvenes como sujetos de especial relevancia para la formulación e implementación de políticas públicas. En tal sentido, la Ley 1622 de 2013, por la cual se expide el Estatuto de Ciudadanía Juvenil, define como jóvenes a las personas entre catorce (14) y veintiocho (28) años cumplidos, en proceso de consolidación de su autonomía intelectual, física, moral, económica, social y cultural, que hacen parte de una comunidad política y ejercen su ciudadanía. A su turno, la Ley 1098 de 2006, Código de la Infancia y la Adolescencia, establece que son adolescentes las personas entre doce (12) y dieciocho (18) </w:t>
      </w:r>
      <w:proofErr w:type="gramStart"/>
      <w:r w:rsidRPr="00F61AF8">
        <w:rPr>
          <w:rFonts w:ascii="Garamond" w:hAnsi="Garamond"/>
          <w:sz w:val="22"/>
          <w:szCs w:val="22"/>
          <w:lang w:val="es-ES_tradnl"/>
        </w:rPr>
        <w:t>años de edad</w:t>
      </w:r>
      <w:proofErr w:type="gramEnd"/>
      <w:r w:rsidRPr="00F61AF8">
        <w:rPr>
          <w:rFonts w:ascii="Garamond" w:hAnsi="Garamond"/>
          <w:sz w:val="22"/>
          <w:szCs w:val="22"/>
          <w:lang w:val="es-ES_tradnl"/>
        </w:rPr>
        <w:t xml:space="preserve">. En armonía con ello, la Constitución Política de 1991 reconoce a adolescentes y jóvenes como sujetos de derechos y como actores estratégicos para la transformación social y el desarrollo del país, lo que impone a las </w:t>
      </w:r>
      <w:proofErr w:type="gramStart"/>
      <w:r w:rsidRPr="00F61AF8">
        <w:rPr>
          <w:rFonts w:ascii="Garamond" w:hAnsi="Garamond"/>
          <w:sz w:val="22"/>
          <w:szCs w:val="22"/>
          <w:lang w:val="es-ES_tradnl"/>
        </w:rPr>
        <w:t>autoridades públicas</w:t>
      </w:r>
      <w:proofErr w:type="gramEnd"/>
      <w:r w:rsidRPr="00F61AF8">
        <w:rPr>
          <w:rFonts w:ascii="Garamond" w:hAnsi="Garamond"/>
          <w:sz w:val="22"/>
          <w:szCs w:val="22"/>
          <w:lang w:val="es-ES_tradnl"/>
        </w:rPr>
        <w:t xml:space="preserve"> el deber de adoptar medidas orientadas a remover barreras estructurales que dificultan el ejercicio efectivo de sus derechos, particularmente en materia educativa.</w:t>
      </w:r>
    </w:p>
    <w:p w14:paraId="7BD7F6B3" w14:textId="77777777" w:rsidR="00F61AF8" w:rsidRPr="00F61AF8" w:rsidRDefault="00F61AF8" w:rsidP="00F61AF8">
      <w:pPr>
        <w:spacing w:line="240" w:lineRule="auto"/>
        <w:jc w:val="both"/>
        <w:rPr>
          <w:rFonts w:ascii="Garamond" w:hAnsi="Garamond"/>
          <w:sz w:val="22"/>
          <w:szCs w:val="22"/>
          <w:lang w:val="es-ES_tradnl"/>
        </w:rPr>
      </w:pPr>
      <w:r w:rsidRPr="00F61AF8">
        <w:rPr>
          <w:rFonts w:ascii="Garamond" w:hAnsi="Garamond"/>
          <w:sz w:val="22"/>
          <w:szCs w:val="22"/>
          <w:lang w:val="es-ES_tradnl"/>
        </w:rPr>
        <w:lastRenderedPageBreak/>
        <w:t xml:space="preserve">A partir de ese marco constitucional y legal, se evidencia la necesidad de facilitar el acceso y la permanencia de las y los jóvenes, especialmente de aquellos que se encuentran en condiciones de vulnerabilidad socioeconómica, en programas de educación superior y de formación técnica </w:t>
      </w:r>
      <w:proofErr w:type="spellStart"/>
      <w:r w:rsidRPr="00F61AF8">
        <w:rPr>
          <w:rFonts w:ascii="Garamond" w:hAnsi="Garamond"/>
          <w:sz w:val="22"/>
          <w:szCs w:val="22"/>
          <w:lang w:val="es-ES_tradnl"/>
        </w:rPr>
        <w:t>posmedia</w:t>
      </w:r>
      <w:proofErr w:type="spellEnd"/>
      <w:r w:rsidRPr="00F61AF8">
        <w:rPr>
          <w:rFonts w:ascii="Garamond" w:hAnsi="Garamond"/>
          <w:sz w:val="22"/>
          <w:szCs w:val="22"/>
          <w:lang w:val="es-ES_tradnl"/>
        </w:rPr>
        <w:t>, sin que ello suponga cargas de endeudamiento para ellos o para sus familias. Tal propósito comprende la financiación de la matrícula, el fortalecimiento de mecanismos de permanencia, la promoción de trayectorias formativas vinculadas con competencias requeridas por el sector productivo y la articulación entre la oferta educativa y las necesidades del mercado laboral de la ciudad, con miras a mejorar las condiciones de empleabilidad, movilidad social e inclusión productiva de esta población.</w:t>
      </w:r>
    </w:p>
    <w:p w14:paraId="15A45BE4" w14:textId="77777777" w:rsidR="00F61AF8" w:rsidRDefault="00F61AF8" w:rsidP="00D268A4">
      <w:pPr>
        <w:spacing w:line="240" w:lineRule="auto"/>
        <w:jc w:val="both"/>
        <w:rPr>
          <w:rFonts w:ascii="Garamond" w:hAnsi="Garamond"/>
          <w:sz w:val="22"/>
          <w:szCs w:val="22"/>
          <w:lang w:val="es-ES_tradnl"/>
        </w:rPr>
      </w:pPr>
      <w:r w:rsidRPr="00F61AF8">
        <w:rPr>
          <w:rFonts w:ascii="Garamond" w:hAnsi="Garamond"/>
          <w:sz w:val="22"/>
          <w:szCs w:val="22"/>
          <w:lang w:val="es-ES_tradnl"/>
        </w:rPr>
        <w:t xml:space="preserve">En ese contexto, el programa se configura como una estrategia de articulación interinstitucional orientada a consolidar un modelo integral de acceso y permanencia en la educación </w:t>
      </w:r>
      <w:proofErr w:type="spellStart"/>
      <w:r w:rsidRPr="00F61AF8">
        <w:rPr>
          <w:rFonts w:ascii="Garamond" w:hAnsi="Garamond"/>
          <w:sz w:val="22"/>
          <w:szCs w:val="22"/>
          <w:lang w:val="es-ES_tradnl"/>
        </w:rPr>
        <w:t>posmedia</w:t>
      </w:r>
      <w:proofErr w:type="spellEnd"/>
      <w:r w:rsidRPr="00F61AF8">
        <w:rPr>
          <w:rFonts w:ascii="Garamond" w:hAnsi="Garamond"/>
          <w:sz w:val="22"/>
          <w:szCs w:val="22"/>
          <w:lang w:val="es-ES_tradnl"/>
        </w:rPr>
        <w:t>, en el que convergen distintos sectores y capacidades institucionales para responder a las necesidades de desarrollo del talento humano en el Distrito Capital. Bajo esa lógica, la educación formal y la formación para el trabajo se integran como herramientas fundamentales para ampliar oportunidades, fortalecer capacidades y atender, con mayor pertinencia, las demandas sociales y productivas del territorio.</w:t>
      </w:r>
    </w:p>
    <w:p w14:paraId="2E1EEF0A" w14:textId="3F34F5DE" w:rsidR="00F61AF8" w:rsidRPr="00E04D4C" w:rsidRDefault="00E04D4C" w:rsidP="00E04D4C">
      <w:pPr>
        <w:pStyle w:val="Prrafodelista"/>
        <w:numPr>
          <w:ilvl w:val="0"/>
          <w:numId w:val="3"/>
        </w:numPr>
        <w:spacing w:line="240" w:lineRule="auto"/>
        <w:rPr>
          <w:rFonts w:ascii="Garamond" w:hAnsi="Garamond"/>
          <w:b/>
          <w:bCs/>
          <w:sz w:val="22"/>
          <w:szCs w:val="22"/>
          <w:lang w:val="es-ES_tradnl"/>
        </w:rPr>
      </w:pPr>
      <w:r w:rsidRPr="00E04D4C">
        <w:rPr>
          <w:rFonts w:ascii="Garamond" w:hAnsi="Garamond"/>
          <w:b/>
          <w:bCs/>
          <w:sz w:val="22"/>
          <w:szCs w:val="22"/>
          <w:lang w:val="es-ES_tradnl"/>
        </w:rPr>
        <w:t>Naturaleza plurianual del objeto a contratar</w:t>
      </w:r>
    </w:p>
    <w:p w14:paraId="569A6965" w14:textId="58197A7A" w:rsidR="00D268A4" w:rsidRPr="00F61AF8"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 xml:space="preserve">La necesidad de acudir a vigencias futuras ordinarias se explica, ante todo, por la naturaleza material del </w:t>
      </w:r>
      <w:r w:rsidR="00BF70E1">
        <w:rPr>
          <w:rFonts w:ascii="Garamond" w:hAnsi="Garamond"/>
          <w:sz w:val="22"/>
          <w:szCs w:val="22"/>
          <w:lang w:val="es-ES_tradnl"/>
        </w:rPr>
        <w:t>convenio</w:t>
      </w:r>
      <w:r w:rsidRPr="00D268A4">
        <w:rPr>
          <w:rFonts w:ascii="Garamond" w:hAnsi="Garamond"/>
          <w:sz w:val="22"/>
          <w:szCs w:val="22"/>
          <w:lang w:val="es-ES_tradnl"/>
        </w:rPr>
        <w:t xml:space="preserve"> cuya ejecución se pretende respaldar. El acceso y la permanencia en educación </w:t>
      </w:r>
      <w:proofErr w:type="spellStart"/>
      <w:r w:rsidRPr="00D268A4">
        <w:rPr>
          <w:rFonts w:ascii="Garamond" w:hAnsi="Garamond"/>
          <w:sz w:val="22"/>
          <w:szCs w:val="22"/>
          <w:lang w:val="es-ES_tradnl"/>
        </w:rPr>
        <w:t>posmedia</w:t>
      </w:r>
      <w:proofErr w:type="spellEnd"/>
      <w:r w:rsidRPr="00D268A4">
        <w:rPr>
          <w:rFonts w:ascii="Garamond" w:hAnsi="Garamond"/>
          <w:sz w:val="22"/>
          <w:szCs w:val="22"/>
          <w:lang w:val="es-ES_tradnl"/>
        </w:rPr>
        <w:t>, especialmente cuando se articulan a través de un esquema interadministrativo con una agencia especializada, no se agotan en un acto único de asignación de cupos</w:t>
      </w:r>
      <w:r w:rsidR="00BF70E1">
        <w:rPr>
          <w:rFonts w:ascii="Garamond" w:hAnsi="Garamond"/>
          <w:sz w:val="22"/>
          <w:szCs w:val="22"/>
          <w:lang w:val="es-ES_tradnl"/>
        </w:rPr>
        <w:t xml:space="preserve">, tampoco </w:t>
      </w:r>
      <w:r w:rsidRPr="00D268A4">
        <w:rPr>
          <w:rFonts w:ascii="Garamond" w:hAnsi="Garamond"/>
          <w:sz w:val="22"/>
          <w:szCs w:val="22"/>
          <w:lang w:val="es-ES_tradnl"/>
        </w:rPr>
        <w:t>en un único desembolso presupuestal. Se trata de un proceso complejo y sucesivo que comprende fases de alistamiento, convocatoria, selección, validación de condiciones de elegibilidad, formalización de matrícula, transferencia o reconocimiento de valores de matrícula o de referencia, apoyos de sostenimiento, acompañamiento a la permanencia, gestión de novedades, seguimiento y consolidación de información para supervisión y cierre. El anexo técnico del convenio 2025 identifica expresamente componentes de alistamiento, convocatoria y selección, y seguimiento del proyecto; a su vez, la guía de estrategia de acompañamiento de ATENEA prevé mecanismos de acompañamiento y gobernanza mediante mesas técnicas y mesas de trabajo con aliados. Todo ello revela una ejecución que, por su propia configuración, atraviesa más de una anualidad presupuestal.</w:t>
      </w:r>
    </w:p>
    <w:p w14:paraId="70333E8F" w14:textId="77777777"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A esa complejidad se suma la temporalidad propia del ciclo académico. La lógica de matrícula, continuidad de programas formativos y apoyos de permanencia responde a calendarios institucionales y trayectorias educativas que no coinciden, de manera natural, con el año fiscal. La necesidad de asegurar acceso y permanencia implica precisamente que la intervención pública acompañe una trayectoria y no solo un acto de ingreso. Cuando la Administración adopta como meta local beneficiar anualmente a una cohorte determinada de jóvenes y declara que financiará tanto el acceso como la permanencia, acepta implícitamente que la ejecución del programa exige continuidad financiera y técnica más allá del corte anual del presupuesto. La vigencia futura aparece, en ese contexto, como una herramienta de correspondencia temporal entre la programación presupuestal y la materialidad del servicio público o de la finalidad pública perseguida.</w:t>
      </w:r>
    </w:p>
    <w:p w14:paraId="35EF65BF" w14:textId="10DCE405" w:rsidR="00D268A4" w:rsidRPr="00D268A4" w:rsidRDefault="00E04D4C" w:rsidP="00D268A4">
      <w:pPr>
        <w:spacing w:line="240" w:lineRule="auto"/>
        <w:jc w:val="both"/>
        <w:rPr>
          <w:rFonts w:ascii="Garamond" w:hAnsi="Garamond"/>
          <w:sz w:val="22"/>
          <w:szCs w:val="22"/>
          <w:lang w:val="es-ES_tradnl"/>
        </w:rPr>
      </w:pPr>
      <w:r>
        <w:rPr>
          <w:rFonts w:ascii="Garamond" w:hAnsi="Garamond"/>
          <w:sz w:val="22"/>
          <w:szCs w:val="22"/>
          <w:lang w:val="es-ES_tradnl"/>
        </w:rPr>
        <w:t>Por otro lado, las</w:t>
      </w:r>
      <w:r w:rsidR="00D268A4" w:rsidRPr="00D268A4">
        <w:rPr>
          <w:rFonts w:ascii="Garamond" w:hAnsi="Garamond"/>
          <w:sz w:val="22"/>
          <w:szCs w:val="22"/>
          <w:lang w:val="es-ES_tradnl"/>
        </w:rPr>
        <w:t xml:space="preserve"> metas del proyecto 2615 no se satisfacen mediante esfuerzos discontinuos, aislados o sujetos a interrupciones anuales que quiebren la coherencia entre la selección de beneficiarios, la financiación de su acceso y el sostenimiento de su permanencia. Cuando el Fondo asume, dentro del Plan de Desarrollo Local, una meta de 840 beneficiarios y la operacionaliza sobre cohortes anuales de 210 jóvenes, asume al mismo tiempo el deber de organizar oportunamente los soportes administrativos, contractuales y presupuestales que permitan la entrada regular de cada cohorte sin sacrificar la gobernanza del proceso ni generar vacíos entre una vigencia y otra. La vigencia futura ordinaria se justifica, entonces, como mecanismo para asegurar esa regularidad y esa continuidad institucional.</w:t>
      </w:r>
    </w:p>
    <w:p w14:paraId="2A234332" w14:textId="77777777" w:rsidR="00D268A4" w:rsidRPr="00D268A4" w:rsidRDefault="00D268A4" w:rsidP="00D268A4">
      <w:pPr>
        <w:spacing w:line="240" w:lineRule="auto"/>
        <w:jc w:val="both"/>
        <w:rPr>
          <w:rFonts w:ascii="Garamond" w:hAnsi="Garamond"/>
          <w:sz w:val="22"/>
          <w:szCs w:val="22"/>
          <w:lang w:val="es-ES_tradnl"/>
        </w:rPr>
      </w:pPr>
      <w:r w:rsidRPr="00D268A4">
        <w:rPr>
          <w:rFonts w:ascii="Garamond" w:hAnsi="Garamond"/>
          <w:sz w:val="22"/>
          <w:szCs w:val="22"/>
          <w:lang w:val="es-ES_tradnl"/>
        </w:rPr>
        <w:t xml:space="preserve">Desde la perspectiva de la gestión pública, la continuidad tiene una doble dimensión. De una parte, protege a los potenciales beneficiarios y a las cohortes en curso frente a interrupciones que pueden afectar su tránsito educativo, su permanencia o su confianza en la institucionalidad. De otra, protege a la Administración frente a sobrecostos de transacción, reprocesos, modificaciones tardías y observaciones por planeación insuficiente. La vigencia futura ordinaria </w:t>
      </w:r>
      <w:proofErr w:type="gramStart"/>
      <w:r w:rsidRPr="00D268A4">
        <w:rPr>
          <w:rFonts w:ascii="Garamond" w:hAnsi="Garamond"/>
          <w:sz w:val="22"/>
          <w:szCs w:val="22"/>
          <w:lang w:val="es-ES_tradnl"/>
        </w:rPr>
        <w:t>opera</w:t>
      </w:r>
      <w:proofErr w:type="gramEnd"/>
      <w:r w:rsidRPr="00D268A4">
        <w:rPr>
          <w:rFonts w:ascii="Garamond" w:hAnsi="Garamond"/>
          <w:sz w:val="22"/>
          <w:szCs w:val="22"/>
          <w:lang w:val="es-ES_tradnl"/>
        </w:rPr>
        <w:t xml:space="preserve"> así como un dispositivo de racionalidad administrativa: hace posible que el compromiso se estructure con una mirada de ciclo completo, alineando los tiempos presupuestales con los tiempos académicos y con las exigencias de selección, matrícula, seguimiento y </w:t>
      </w:r>
      <w:r w:rsidRPr="00D268A4">
        <w:rPr>
          <w:rFonts w:ascii="Garamond" w:hAnsi="Garamond"/>
          <w:sz w:val="22"/>
          <w:szCs w:val="22"/>
          <w:lang w:val="es-ES_tradnl"/>
        </w:rPr>
        <w:lastRenderedPageBreak/>
        <w:t xml:space="preserve">reporte. Este razonamiento es compatible con el marco del Plan Distrital de Desarrollo, que expresamente asocia la política de educación </w:t>
      </w:r>
      <w:proofErr w:type="spellStart"/>
      <w:r w:rsidRPr="00D268A4">
        <w:rPr>
          <w:rFonts w:ascii="Garamond" w:hAnsi="Garamond"/>
          <w:sz w:val="22"/>
          <w:szCs w:val="22"/>
          <w:lang w:val="es-ES_tradnl"/>
        </w:rPr>
        <w:t>posmedia</w:t>
      </w:r>
      <w:proofErr w:type="spellEnd"/>
      <w:r w:rsidRPr="00D268A4">
        <w:rPr>
          <w:rFonts w:ascii="Garamond" w:hAnsi="Garamond"/>
          <w:sz w:val="22"/>
          <w:szCs w:val="22"/>
          <w:lang w:val="es-ES_tradnl"/>
        </w:rPr>
        <w:t xml:space="preserve"> con mecanismos de financiación que permitan sostenibilidad y con estrategias de permanencia para los programas respectivos.</w:t>
      </w:r>
    </w:p>
    <w:p w14:paraId="449BA3DA" w14:textId="15C71685" w:rsidR="00E04D4C" w:rsidRPr="00E04D4C" w:rsidRDefault="00E04D4C" w:rsidP="00E04D4C">
      <w:pPr>
        <w:pStyle w:val="Prrafodelista"/>
        <w:numPr>
          <w:ilvl w:val="0"/>
          <w:numId w:val="3"/>
        </w:numPr>
        <w:spacing w:line="240" w:lineRule="auto"/>
        <w:jc w:val="both"/>
        <w:rPr>
          <w:rFonts w:ascii="Garamond" w:hAnsi="Garamond"/>
          <w:b/>
          <w:bCs/>
          <w:sz w:val="22"/>
          <w:szCs w:val="22"/>
          <w:lang w:val="es-ES_tradnl"/>
        </w:rPr>
      </w:pPr>
      <w:r w:rsidRPr="00E04D4C">
        <w:rPr>
          <w:rFonts w:ascii="Garamond" w:hAnsi="Garamond"/>
          <w:b/>
          <w:bCs/>
          <w:sz w:val="22"/>
          <w:szCs w:val="22"/>
          <w:lang w:val="es-ES_tradnl"/>
        </w:rPr>
        <w:t xml:space="preserve">Identificación de la vigencia futura. </w:t>
      </w:r>
    </w:p>
    <w:p w14:paraId="472A35F6" w14:textId="7CDF7E1A" w:rsid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Dado lo anterior</w:t>
      </w:r>
      <w:r>
        <w:rPr>
          <w:rFonts w:ascii="Garamond" w:hAnsi="Garamond"/>
          <w:sz w:val="22"/>
          <w:szCs w:val="22"/>
          <w:lang w:val="es-ES_tradnl"/>
        </w:rPr>
        <w:t>,</w:t>
      </w:r>
      <w:r w:rsidRPr="00E04D4C">
        <w:rPr>
          <w:rFonts w:ascii="Garamond" w:hAnsi="Garamond"/>
          <w:sz w:val="22"/>
          <w:szCs w:val="22"/>
          <w:lang w:val="es-ES_tradnl"/>
        </w:rPr>
        <w:t xml:space="preserve"> </w:t>
      </w:r>
      <w:r>
        <w:rPr>
          <w:rFonts w:ascii="Garamond" w:hAnsi="Garamond"/>
          <w:sz w:val="22"/>
          <w:szCs w:val="22"/>
          <w:lang w:val="es-ES_tradnl"/>
        </w:rPr>
        <w:t>e</w:t>
      </w:r>
      <w:r w:rsidRPr="00E04D4C">
        <w:rPr>
          <w:rFonts w:ascii="Garamond" w:hAnsi="Garamond"/>
          <w:sz w:val="22"/>
          <w:szCs w:val="22"/>
          <w:lang w:val="es-ES_tradnl"/>
        </w:rPr>
        <w:t xml:space="preserve">l Fondo de Desarrollo Local de San Cristóbal solicita al CONFIS Distrital autorizar la asunción de compromisos que afectan vigencias futuras </w:t>
      </w:r>
      <w:proofErr w:type="gramStart"/>
      <w:r w:rsidRPr="00E04D4C">
        <w:rPr>
          <w:rFonts w:ascii="Garamond" w:hAnsi="Garamond"/>
          <w:sz w:val="22"/>
          <w:szCs w:val="22"/>
          <w:lang w:val="es-ES_tradnl"/>
        </w:rPr>
        <w:t>de</w:t>
      </w:r>
      <w:r w:rsidR="00554D36">
        <w:rPr>
          <w:rFonts w:ascii="Garamond" w:hAnsi="Garamond"/>
          <w:sz w:val="22"/>
          <w:szCs w:val="22"/>
          <w:lang w:val="es-ES_tradnl"/>
        </w:rPr>
        <w:t xml:space="preserve">l </w:t>
      </w:r>
      <w:r w:rsidRPr="00E04D4C">
        <w:rPr>
          <w:rFonts w:ascii="Garamond" w:hAnsi="Garamond"/>
          <w:sz w:val="22"/>
          <w:szCs w:val="22"/>
          <w:lang w:val="es-ES_tradnl"/>
        </w:rPr>
        <w:t xml:space="preserve"> año</w:t>
      </w:r>
      <w:proofErr w:type="gramEnd"/>
      <w:r w:rsidRPr="00E04D4C">
        <w:rPr>
          <w:rFonts w:ascii="Garamond" w:hAnsi="Garamond"/>
          <w:sz w:val="22"/>
          <w:szCs w:val="22"/>
          <w:lang w:val="es-ES_tradnl"/>
        </w:rPr>
        <w:t xml:space="preserve"> </w:t>
      </w:r>
      <w:r w:rsidR="00554D36">
        <w:rPr>
          <w:rFonts w:ascii="Garamond" w:hAnsi="Garamond"/>
          <w:sz w:val="22"/>
          <w:szCs w:val="22"/>
          <w:lang w:val="es-ES_tradnl"/>
        </w:rPr>
        <w:t>2027</w:t>
      </w:r>
      <w:r w:rsidRPr="00E04D4C">
        <w:rPr>
          <w:rFonts w:ascii="Garamond" w:hAnsi="Garamond"/>
          <w:sz w:val="22"/>
          <w:szCs w:val="22"/>
          <w:lang w:val="es-ES_tradnl"/>
        </w:rPr>
        <w:t xml:space="preserve"> en el presupuesto en Gastos de Funcionamiento de </w:t>
      </w:r>
      <w:r>
        <w:rPr>
          <w:rFonts w:ascii="Garamond" w:hAnsi="Garamond"/>
          <w:sz w:val="22"/>
          <w:szCs w:val="22"/>
          <w:lang w:val="es-ES_tradnl"/>
        </w:rPr>
        <w:t>C</w:t>
      </w:r>
      <w:r w:rsidRPr="00E04D4C">
        <w:rPr>
          <w:rFonts w:ascii="Garamond" w:hAnsi="Garamond"/>
          <w:sz w:val="22"/>
          <w:szCs w:val="22"/>
          <w:lang w:val="es-ES_tradnl"/>
        </w:rPr>
        <w:t xml:space="preserve">arácter </w:t>
      </w:r>
      <w:r>
        <w:rPr>
          <w:rFonts w:ascii="Garamond" w:hAnsi="Garamond"/>
          <w:sz w:val="22"/>
          <w:szCs w:val="22"/>
          <w:lang w:val="es-ES_tradnl"/>
        </w:rPr>
        <w:t>O</w:t>
      </w:r>
      <w:r w:rsidRPr="00E04D4C">
        <w:rPr>
          <w:rFonts w:ascii="Garamond" w:hAnsi="Garamond"/>
          <w:sz w:val="22"/>
          <w:szCs w:val="22"/>
          <w:lang w:val="es-ES_tradnl"/>
        </w:rPr>
        <w:t xml:space="preserve">rdinario, por valor de </w:t>
      </w:r>
      <w:r w:rsidR="00554D36" w:rsidRPr="009E61E4">
        <w:rPr>
          <w:rFonts w:ascii="Garamond" w:hAnsi="Garamond"/>
          <w:b/>
          <w:highlight w:val="yellow"/>
          <w:lang w:val="es-CO"/>
        </w:rPr>
        <w:t>$</w:t>
      </w:r>
      <w:r w:rsidR="00554D36" w:rsidRPr="009E61E4">
        <w:rPr>
          <w:rFonts w:ascii="Garamond" w:eastAsia="Garamond" w:hAnsi="Garamond" w:cs="Garamond"/>
          <w:b/>
          <w:highlight w:val="yellow"/>
          <w:lang w:val="es-CO"/>
        </w:rPr>
        <w:t>9.997.199.648</w:t>
      </w:r>
      <w:r w:rsidRPr="00E04D4C">
        <w:rPr>
          <w:rFonts w:ascii="Garamond" w:hAnsi="Garamond"/>
          <w:sz w:val="22"/>
          <w:szCs w:val="22"/>
          <w:lang w:val="es-ES_tradnl"/>
        </w:rPr>
        <w:t xml:space="preserve"> pesos corrientes, en consideración a lo dispuesto en el Decreto 714 de 1996, la Ley 819 de 2003, el Decreto 2789 del 2004, la Ley 1483 de 2011 y la circular CONFIS 07 del 2024.</w:t>
      </w:r>
    </w:p>
    <w:tbl>
      <w:tblPr>
        <w:tblStyle w:val="TableNormal1"/>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6135"/>
      </w:tblGrid>
      <w:tr w:rsidR="00E04D4C" w:rsidRPr="009E61E4" w14:paraId="586331C1" w14:textId="77777777" w:rsidTr="000A3045">
        <w:trPr>
          <w:trHeight w:val="1094"/>
        </w:trPr>
        <w:tc>
          <w:tcPr>
            <w:tcW w:w="2693" w:type="dxa"/>
          </w:tcPr>
          <w:p w14:paraId="6CE1051D" w14:textId="77777777" w:rsidR="00E04D4C" w:rsidRPr="00E04D4C" w:rsidRDefault="00E04D4C" w:rsidP="000A3045">
            <w:pPr>
              <w:pStyle w:val="TableParagraph"/>
              <w:spacing w:before="29"/>
              <w:ind w:left="142"/>
              <w:rPr>
                <w:rFonts w:ascii="Garamond" w:hAnsi="Garamond"/>
                <w:b/>
              </w:rPr>
            </w:pPr>
            <w:r w:rsidRPr="00E04D4C">
              <w:rPr>
                <w:rFonts w:ascii="Garamond" w:hAnsi="Garamond"/>
                <w:b/>
                <w:spacing w:val="-4"/>
              </w:rPr>
              <w:t xml:space="preserve">Objeto </w:t>
            </w:r>
            <w:r w:rsidRPr="00E04D4C">
              <w:rPr>
                <w:rFonts w:ascii="Garamond" w:hAnsi="Garamond"/>
                <w:b/>
                <w:spacing w:val="-2"/>
              </w:rPr>
              <w:t>contractual</w:t>
            </w:r>
          </w:p>
        </w:tc>
        <w:tc>
          <w:tcPr>
            <w:tcW w:w="6135" w:type="dxa"/>
          </w:tcPr>
          <w:p w14:paraId="0F8E125D" w14:textId="08AA12BC" w:rsidR="00E04D4C" w:rsidRPr="00E04D4C" w:rsidRDefault="00E04D4C" w:rsidP="000A3045">
            <w:pPr>
              <w:pStyle w:val="TableParagraph"/>
              <w:spacing w:before="21" w:line="240" w:lineRule="exact"/>
              <w:ind w:left="142"/>
              <w:jc w:val="both"/>
              <w:rPr>
                <w:rFonts w:ascii="Garamond" w:hAnsi="Garamond"/>
              </w:rPr>
            </w:pPr>
            <w:bookmarkStart w:id="0" w:name="_Hlk202954501"/>
            <w:r w:rsidRPr="00E04D4C">
              <w:rPr>
                <w:rFonts w:ascii="Garamond" w:eastAsia="Garamond" w:hAnsi="Garamond" w:cs="Garamond"/>
              </w:rPr>
              <w:t>«</w:t>
            </w:r>
            <w:r w:rsidRPr="00E04D4C">
              <w:rPr>
                <w:rFonts w:ascii="Garamond" w:hAnsi="Garamond"/>
                <w:i/>
                <w:iCs/>
                <w:lang w:val="es-ES_tradnl"/>
              </w:rPr>
              <w:t>AUNAR ESFUERZOS Y RECURSOS TÉCNICOS, ADMINISTRATIVOS, JURÍDICOS, FINANCIEROS Y HUMANOS ENTRE EL FONDO DE DESARROLLO LOCAL DE SAN CRISTÓBAL Y LA AGENCIA ATENEA, PARA PROMOVER EL ACCESO Y LA PERMANENCIA DE LOS JÓVENES DE LA CIUDAD DE BOGOTÁ A LOS PROGRAMAS DE EDUCACIÓN POSMEDIA</w:t>
            </w:r>
            <w:bookmarkEnd w:id="0"/>
            <w:r w:rsidRPr="00E04D4C">
              <w:rPr>
                <w:rFonts w:ascii="Garamond" w:eastAsia="Garamond" w:hAnsi="Garamond" w:cs="Garamond"/>
              </w:rPr>
              <w:t>».</w:t>
            </w:r>
          </w:p>
        </w:tc>
      </w:tr>
      <w:tr w:rsidR="00E04D4C" w:rsidRPr="00E04D4C" w14:paraId="43954226" w14:textId="77777777" w:rsidTr="000A3045">
        <w:trPr>
          <w:trHeight w:val="290"/>
        </w:trPr>
        <w:tc>
          <w:tcPr>
            <w:tcW w:w="2693" w:type="dxa"/>
          </w:tcPr>
          <w:p w14:paraId="7078AD40" w14:textId="77777777" w:rsidR="00E04D4C" w:rsidRPr="00E04D4C" w:rsidRDefault="00E04D4C" w:rsidP="000A3045">
            <w:pPr>
              <w:pStyle w:val="TableParagraph"/>
              <w:spacing w:before="27" w:line="243" w:lineRule="exact"/>
              <w:ind w:left="142"/>
              <w:rPr>
                <w:rFonts w:ascii="Garamond" w:hAnsi="Garamond"/>
                <w:b/>
              </w:rPr>
            </w:pPr>
            <w:r w:rsidRPr="00E04D4C">
              <w:rPr>
                <w:rFonts w:ascii="Garamond" w:hAnsi="Garamond"/>
                <w:b/>
                <w:spacing w:val="-2"/>
              </w:rPr>
              <w:t>Rubro</w:t>
            </w:r>
          </w:p>
        </w:tc>
        <w:tc>
          <w:tcPr>
            <w:tcW w:w="6135" w:type="dxa"/>
          </w:tcPr>
          <w:p w14:paraId="609B5EEB" w14:textId="1AA635D4" w:rsidR="00E04D4C" w:rsidRPr="00E04D4C" w:rsidRDefault="003262BC" w:rsidP="000A3045">
            <w:pPr>
              <w:pStyle w:val="TableParagraph"/>
              <w:spacing w:before="13"/>
              <w:ind w:left="142"/>
              <w:rPr>
                <w:rFonts w:ascii="Garamond" w:hAnsi="Garamond"/>
              </w:rPr>
            </w:pPr>
            <w:r w:rsidRPr="00E04D4C">
              <w:rPr>
                <w:rFonts w:ascii="Garamond" w:eastAsiaTheme="minorHAnsi" w:hAnsi="Garamond"/>
                <w:lang w:val="es-CO"/>
              </w:rPr>
              <w:t>O23011745992024261</w:t>
            </w:r>
          </w:p>
        </w:tc>
      </w:tr>
      <w:tr w:rsidR="00E04D4C" w:rsidRPr="00E04D4C" w14:paraId="2FD7EFA9" w14:textId="77777777" w:rsidTr="000A3045">
        <w:trPr>
          <w:trHeight w:val="292"/>
        </w:trPr>
        <w:tc>
          <w:tcPr>
            <w:tcW w:w="2693" w:type="dxa"/>
          </w:tcPr>
          <w:p w14:paraId="50179168" w14:textId="77777777" w:rsidR="00E04D4C" w:rsidRPr="00E04D4C" w:rsidRDefault="00E04D4C" w:rsidP="000A3045">
            <w:pPr>
              <w:pStyle w:val="TableParagraph"/>
              <w:spacing w:before="29" w:line="243" w:lineRule="exact"/>
              <w:ind w:left="142"/>
              <w:rPr>
                <w:rFonts w:ascii="Garamond" w:hAnsi="Garamond"/>
                <w:b/>
              </w:rPr>
            </w:pPr>
            <w:r w:rsidRPr="00E04D4C">
              <w:rPr>
                <w:rFonts w:ascii="Garamond" w:hAnsi="Garamond"/>
                <w:b/>
              </w:rPr>
              <w:t>Concepto</w:t>
            </w:r>
            <w:r w:rsidRPr="00E04D4C">
              <w:rPr>
                <w:rFonts w:ascii="Garamond" w:hAnsi="Garamond"/>
                <w:b/>
                <w:spacing w:val="-5"/>
              </w:rPr>
              <w:t xml:space="preserve"> </w:t>
            </w:r>
            <w:r w:rsidRPr="00E04D4C">
              <w:rPr>
                <w:rFonts w:ascii="Garamond" w:hAnsi="Garamond"/>
                <w:b/>
              </w:rPr>
              <w:t xml:space="preserve">de </w:t>
            </w:r>
            <w:r w:rsidRPr="00E04D4C">
              <w:rPr>
                <w:rFonts w:ascii="Garamond" w:hAnsi="Garamond"/>
                <w:b/>
                <w:spacing w:val="-4"/>
              </w:rPr>
              <w:t>gasto</w:t>
            </w:r>
          </w:p>
        </w:tc>
        <w:tc>
          <w:tcPr>
            <w:tcW w:w="6135" w:type="dxa"/>
          </w:tcPr>
          <w:p w14:paraId="3332284F" w14:textId="77777777" w:rsidR="00E04D4C" w:rsidRPr="00E04D4C" w:rsidRDefault="00E04D4C" w:rsidP="00E04D4C">
            <w:pPr>
              <w:pStyle w:val="Normal0"/>
              <w:numPr>
                <w:ilvl w:val="0"/>
                <w:numId w:val="4"/>
              </w:numPr>
              <w:spacing w:line="240" w:lineRule="auto"/>
              <w:ind w:left="142" w:firstLine="0"/>
              <w:jc w:val="both"/>
              <w:rPr>
                <w:rFonts w:ascii="Garamond" w:hAnsi="Garamond"/>
                <w:color w:val="242424"/>
                <w:shd w:val="clear" w:color="auto" w:fill="FFFFFF"/>
              </w:rPr>
            </w:pPr>
            <w:r w:rsidRPr="00E04D4C">
              <w:rPr>
                <w:rFonts w:ascii="Garamond" w:hAnsi="Garamond"/>
                <w:color w:val="242424"/>
                <w:shd w:val="clear" w:color="auto" w:fill="FFFFFF"/>
              </w:rPr>
              <w:t>Pago de Matriculas a los beneficiarios.</w:t>
            </w:r>
          </w:p>
          <w:p w14:paraId="26413D43" w14:textId="77777777" w:rsidR="00E04D4C" w:rsidRPr="00E04D4C" w:rsidRDefault="00E04D4C" w:rsidP="00E04D4C">
            <w:pPr>
              <w:pStyle w:val="Normal0"/>
              <w:numPr>
                <w:ilvl w:val="0"/>
                <w:numId w:val="4"/>
              </w:numPr>
              <w:spacing w:line="240" w:lineRule="auto"/>
              <w:ind w:left="142" w:firstLine="0"/>
              <w:jc w:val="both"/>
              <w:rPr>
                <w:rFonts w:ascii="Garamond" w:hAnsi="Garamond"/>
              </w:rPr>
            </w:pPr>
            <w:r w:rsidRPr="00E04D4C">
              <w:rPr>
                <w:rFonts w:ascii="Garamond" w:hAnsi="Garamond"/>
                <w:color w:val="242424"/>
                <w:shd w:val="clear" w:color="auto" w:fill="FFFFFF"/>
              </w:rPr>
              <w:t>Apoyo económico para beneficiarios.</w:t>
            </w:r>
          </w:p>
        </w:tc>
      </w:tr>
      <w:tr w:rsidR="00E04D4C" w:rsidRPr="00E04D4C" w14:paraId="0127FD9D" w14:textId="77777777" w:rsidTr="000A3045">
        <w:trPr>
          <w:trHeight w:val="359"/>
        </w:trPr>
        <w:tc>
          <w:tcPr>
            <w:tcW w:w="2693" w:type="dxa"/>
          </w:tcPr>
          <w:p w14:paraId="0A11E257" w14:textId="77777777" w:rsidR="00E04D4C" w:rsidRPr="00E04D4C" w:rsidRDefault="00E04D4C" w:rsidP="000A3045">
            <w:pPr>
              <w:pStyle w:val="TableParagraph"/>
              <w:spacing w:before="27"/>
              <w:ind w:left="142"/>
              <w:rPr>
                <w:rFonts w:ascii="Garamond" w:hAnsi="Garamond"/>
                <w:b/>
              </w:rPr>
            </w:pPr>
            <w:r w:rsidRPr="00E04D4C">
              <w:rPr>
                <w:rFonts w:ascii="Garamond" w:hAnsi="Garamond"/>
                <w:b/>
                <w:spacing w:val="-7"/>
              </w:rPr>
              <w:t>Valor</w:t>
            </w:r>
            <w:r w:rsidRPr="00E04D4C">
              <w:rPr>
                <w:rFonts w:ascii="Garamond" w:hAnsi="Garamond"/>
                <w:b/>
                <w:spacing w:val="-5"/>
              </w:rPr>
              <w:t xml:space="preserve"> VF</w:t>
            </w:r>
          </w:p>
        </w:tc>
        <w:tc>
          <w:tcPr>
            <w:tcW w:w="6135" w:type="dxa"/>
          </w:tcPr>
          <w:p w14:paraId="6B24E311" w14:textId="709E50F4" w:rsidR="00E04D4C" w:rsidRPr="00E04D4C" w:rsidRDefault="00554D36" w:rsidP="000A3045">
            <w:pPr>
              <w:pStyle w:val="TableParagraph"/>
              <w:spacing w:before="25"/>
              <w:ind w:left="142"/>
              <w:rPr>
                <w:rFonts w:ascii="Garamond" w:hAnsi="Garamond"/>
                <w:b/>
              </w:rPr>
            </w:pPr>
            <w:r w:rsidRPr="00BB4745">
              <w:rPr>
                <w:rFonts w:ascii="Garamond" w:hAnsi="Garamond"/>
                <w:b/>
                <w:highlight w:val="yellow"/>
              </w:rPr>
              <w:t>$</w:t>
            </w:r>
            <w:r>
              <w:rPr>
                <w:rFonts w:ascii="Garamond" w:eastAsia="Garamond" w:hAnsi="Garamond" w:cs="Garamond"/>
                <w:b/>
                <w:highlight w:val="yellow"/>
              </w:rPr>
              <w:t>9.997.199.648</w:t>
            </w:r>
          </w:p>
        </w:tc>
      </w:tr>
    </w:tbl>
    <w:p w14:paraId="381DFEDE" w14:textId="77777777" w:rsidR="00E04D4C" w:rsidRDefault="00E04D4C" w:rsidP="00E04D4C">
      <w:pPr>
        <w:spacing w:line="240" w:lineRule="auto"/>
        <w:jc w:val="both"/>
        <w:rPr>
          <w:rFonts w:ascii="Garamond" w:hAnsi="Garamond"/>
          <w:sz w:val="22"/>
          <w:szCs w:val="22"/>
          <w:lang w:val="es-ES_tradnl"/>
        </w:rPr>
      </w:pPr>
    </w:p>
    <w:p w14:paraId="4E7110F5" w14:textId="647C6FBD" w:rsidR="00E04D4C" w:rsidRP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 xml:space="preserve">La política distrital de educación </w:t>
      </w:r>
      <w:proofErr w:type="spellStart"/>
      <w:r w:rsidRPr="00E04D4C">
        <w:rPr>
          <w:rFonts w:ascii="Garamond" w:hAnsi="Garamond"/>
          <w:sz w:val="22"/>
          <w:szCs w:val="22"/>
          <w:lang w:val="es-ES_tradnl"/>
        </w:rPr>
        <w:t>posmedia</w:t>
      </w:r>
      <w:proofErr w:type="spellEnd"/>
      <w:r w:rsidRPr="00E04D4C">
        <w:rPr>
          <w:rFonts w:ascii="Garamond" w:hAnsi="Garamond"/>
          <w:sz w:val="22"/>
          <w:szCs w:val="22"/>
          <w:lang w:val="es-ES_tradnl"/>
        </w:rPr>
        <w:t xml:space="preserve"> en Bogotá ha venido consolidándose como una respuesta institucional frente a las barreras estructurales de acceso y permanencia que afectan, de manera particular, a la población joven en condición de vulnerabilidad socioeconómica. En ese marco, el programa Jóvenes a la E, liderado por la Agencia Distrital para la Educación Superior, la Ciencia y la Tecnología – ATENEA, se orienta a promover el acceso y la permanencia en programas de educación </w:t>
      </w:r>
      <w:proofErr w:type="spellStart"/>
      <w:r w:rsidRPr="00E04D4C">
        <w:rPr>
          <w:rFonts w:ascii="Garamond" w:hAnsi="Garamond"/>
          <w:sz w:val="22"/>
          <w:szCs w:val="22"/>
          <w:lang w:val="es-ES_tradnl"/>
        </w:rPr>
        <w:t>posmedia</w:t>
      </w:r>
      <w:proofErr w:type="spellEnd"/>
      <w:r w:rsidRPr="00E04D4C">
        <w:rPr>
          <w:rFonts w:ascii="Garamond" w:hAnsi="Garamond"/>
          <w:sz w:val="22"/>
          <w:szCs w:val="22"/>
          <w:lang w:val="es-ES_tradnl"/>
        </w:rPr>
        <w:t xml:space="preserve">, mediante un esquema de articulación interinstitucional que comprende la financiación de matrícula o valores de referencia para instituciones de educación superior públicas y privadas, así como apoyos de sostenimiento o permanencia, conforme a lo previsto en el respectivo manual operativo. A su vez, el Fondo de Desarrollo Local de San Cristóbal, a través del </w:t>
      </w:r>
      <w:r>
        <w:rPr>
          <w:rFonts w:ascii="Garamond" w:hAnsi="Garamond"/>
          <w:sz w:val="22"/>
          <w:szCs w:val="22"/>
          <w:lang w:val="es-ES_tradnl"/>
        </w:rPr>
        <w:t>P</w:t>
      </w:r>
      <w:r w:rsidRPr="00E04D4C">
        <w:rPr>
          <w:rFonts w:ascii="Garamond" w:hAnsi="Garamond"/>
          <w:sz w:val="22"/>
          <w:szCs w:val="22"/>
          <w:lang w:val="es-ES_tradnl"/>
        </w:rPr>
        <w:t xml:space="preserve">royecto de </w:t>
      </w:r>
      <w:r>
        <w:rPr>
          <w:rFonts w:ascii="Garamond" w:hAnsi="Garamond"/>
          <w:sz w:val="22"/>
          <w:szCs w:val="22"/>
          <w:lang w:val="es-ES_tradnl"/>
        </w:rPr>
        <w:t>I</w:t>
      </w:r>
      <w:r w:rsidRPr="00E04D4C">
        <w:rPr>
          <w:rFonts w:ascii="Garamond" w:hAnsi="Garamond"/>
          <w:sz w:val="22"/>
          <w:szCs w:val="22"/>
          <w:lang w:val="es-ES_tradnl"/>
        </w:rPr>
        <w:t>nversión</w:t>
      </w:r>
      <w:r>
        <w:rPr>
          <w:rFonts w:ascii="Garamond" w:hAnsi="Garamond"/>
          <w:sz w:val="22"/>
          <w:szCs w:val="22"/>
          <w:lang w:val="es-ES_tradnl"/>
        </w:rPr>
        <w:t xml:space="preserve"> </w:t>
      </w:r>
      <w:proofErr w:type="spellStart"/>
      <w:r>
        <w:rPr>
          <w:rFonts w:ascii="Garamond" w:hAnsi="Garamond"/>
          <w:sz w:val="22"/>
          <w:szCs w:val="22"/>
          <w:lang w:val="es-ES_tradnl"/>
        </w:rPr>
        <w:t>N°</w:t>
      </w:r>
      <w:proofErr w:type="spellEnd"/>
      <w:r w:rsidRPr="00E04D4C">
        <w:rPr>
          <w:rFonts w:ascii="Garamond" w:hAnsi="Garamond"/>
          <w:sz w:val="22"/>
          <w:szCs w:val="22"/>
          <w:lang w:val="es-ES_tradnl"/>
        </w:rPr>
        <w:t xml:space="preserve"> 2615 </w:t>
      </w:r>
      <w:r>
        <w:rPr>
          <w:rFonts w:ascii="Garamond" w:hAnsi="Garamond"/>
          <w:sz w:val="22"/>
          <w:szCs w:val="22"/>
          <w:lang w:val="es-ES_tradnl"/>
        </w:rPr>
        <w:t>«</w:t>
      </w:r>
      <w:r w:rsidRPr="00E04D4C">
        <w:rPr>
          <w:rFonts w:ascii="Garamond" w:hAnsi="Garamond"/>
          <w:i/>
          <w:iCs/>
          <w:sz w:val="22"/>
          <w:szCs w:val="22"/>
          <w:lang w:val="es-ES_tradnl"/>
        </w:rPr>
        <w:t>Educación que genera oportunidades</w:t>
      </w:r>
      <w:r>
        <w:rPr>
          <w:rFonts w:ascii="Garamond" w:hAnsi="Garamond"/>
          <w:sz w:val="22"/>
          <w:szCs w:val="22"/>
          <w:lang w:val="es-ES_tradnl"/>
        </w:rPr>
        <w:t>»</w:t>
      </w:r>
      <w:r w:rsidRPr="00E04D4C">
        <w:rPr>
          <w:rFonts w:ascii="Garamond" w:hAnsi="Garamond"/>
          <w:sz w:val="22"/>
          <w:szCs w:val="22"/>
          <w:lang w:val="es-ES_tradnl"/>
        </w:rPr>
        <w:t xml:space="preserve">, concurrirá con los recursos necesarios para aportar al cumplimiento de las metas locales asociadas al acceso y la permanencia de jóvenes de la localidad en programas de educación </w:t>
      </w:r>
      <w:proofErr w:type="spellStart"/>
      <w:r w:rsidRPr="00E04D4C">
        <w:rPr>
          <w:rFonts w:ascii="Garamond" w:hAnsi="Garamond"/>
          <w:sz w:val="22"/>
          <w:szCs w:val="22"/>
          <w:lang w:val="es-ES_tradnl"/>
        </w:rPr>
        <w:t>posmedia</w:t>
      </w:r>
      <w:proofErr w:type="spellEnd"/>
      <w:r w:rsidRPr="00E04D4C">
        <w:rPr>
          <w:rFonts w:ascii="Garamond" w:hAnsi="Garamond"/>
          <w:sz w:val="22"/>
          <w:szCs w:val="22"/>
          <w:lang w:val="es-ES_tradnl"/>
        </w:rPr>
        <w:t>.</w:t>
      </w:r>
    </w:p>
    <w:p w14:paraId="555DE493" w14:textId="30C343F3" w:rsidR="00E04D4C" w:rsidRP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Dicha intervención no puede ser entendida como una actuación aislada o de simple ejecución anual, puesto que su objeto involucra una secuencia articulada de actividades de alistamiento, convocatoria, selección, matrícula, acompañamiento, seguimiento a beneficiarios, atención de novedades y fortalecimiento de estrategias de permanencia, todo ello en función de garantizar trayectorias educativas efectivas y sostenibles. En efecto, el anexo técnico del convenio estructurado para 2025 prevé componentes específicos de alistamiento, convocatoria y selección, así como de seguimiento del proyecto, y establece metas concretas de acceso y permanencia para la vigencia, lo cual evidencia que la operación material del programa desborda una lógica meramente instantánea o fragmentaria.</w:t>
      </w:r>
    </w:p>
    <w:p w14:paraId="17FA5FC9" w14:textId="78A0E361" w:rsidR="00E04D4C" w:rsidRP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 xml:space="preserve">Adicionalmente, </w:t>
      </w:r>
      <w:r w:rsidR="00EC708D" w:rsidRPr="00E04D4C">
        <w:rPr>
          <w:rFonts w:ascii="Garamond" w:hAnsi="Garamond"/>
          <w:sz w:val="22"/>
          <w:szCs w:val="22"/>
          <w:lang w:val="es-ES_tradnl"/>
        </w:rPr>
        <w:t>la propia documentación técnica pone</w:t>
      </w:r>
      <w:r w:rsidRPr="00E04D4C">
        <w:rPr>
          <w:rFonts w:ascii="Garamond" w:hAnsi="Garamond"/>
          <w:sz w:val="22"/>
          <w:szCs w:val="22"/>
          <w:lang w:val="es-ES_tradnl"/>
        </w:rPr>
        <w:t xml:space="preserve"> de presente que, para la estructuración del convenio de la vigencia 2026, resulta indispensable revisar y calibrar la calculadora, ajustar los escenarios de meta y presupuesto, incorporar desde el paquete de estructuración el valor presupuestal correspondiente y evaluar tempranamente la procedencia del trámite de vigencias futuras ante las instancias competentes. Del mismo modo, se dejó constancia de que la Alcaldía Local no continuará con la adición del Convenio 677-2025 y concentrará sus esfuerzos en la preparación del paquete 2026, lo que refuerza la necesidad de adoptar mecanismos de planeación presupuestal que permitan asegurar continuidad, evitar reprocesos y acompasar los tiempos de estructuración contractual con las exigencias materiales del programa.</w:t>
      </w:r>
    </w:p>
    <w:p w14:paraId="625AF1C1" w14:textId="5521494D" w:rsidR="00E04D4C" w:rsidRP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 xml:space="preserve">En ese contexto, para garantizar la continuidad del esquema de acceso y permanencia en educación </w:t>
      </w:r>
      <w:proofErr w:type="spellStart"/>
      <w:r w:rsidRPr="00E04D4C">
        <w:rPr>
          <w:rFonts w:ascii="Garamond" w:hAnsi="Garamond"/>
          <w:sz w:val="22"/>
          <w:szCs w:val="22"/>
          <w:lang w:val="es-ES_tradnl"/>
        </w:rPr>
        <w:t>posmedia</w:t>
      </w:r>
      <w:proofErr w:type="spellEnd"/>
      <w:r w:rsidRPr="00E04D4C">
        <w:rPr>
          <w:rFonts w:ascii="Garamond" w:hAnsi="Garamond"/>
          <w:sz w:val="22"/>
          <w:szCs w:val="22"/>
          <w:lang w:val="es-ES_tradnl"/>
        </w:rPr>
        <w:t xml:space="preserve"> durante las vigencias 2026 y 2027 y contribuir al cumplimiento de las metas del proyecto 2615, </w:t>
      </w:r>
      <w:r w:rsidRPr="00E04D4C">
        <w:rPr>
          <w:rFonts w:ascii="Garamond" w:hAnsi="Garamond"/>
          <w:sz w:val="22"/>
          <w:szCs w:val="22"/>
          <w:lang w:val="es-ES_tradnl"/>
        </w:rPr>
        <w:lastRenderedPageBreak/>
        <w:t>se hace necesario estructurar un convenio interadministrativo cuya ejecución supere una sola anualidad fiscal. La naturaleza misma del objeto contractual impide que su desarrollo se interrumpa con el cierre de la vigencia presupuestal, dado que comprende no solo la cobertura de matrícula y apoyos de sostenimiento, sino también procesos sucesivos de selección, validación, acompañamiento, seguimiento y control, cuya interrupción comprometería la continuidad de la estrategia y afectaría el principio de planeación. En consecuencia, resulta jurídicamente pertinente acudir al instrumento de vigencias futuras, en la medida en que este permite asegurar la continuidad de la intervención pública, evitar traumatismos administrativos derivados de nuevos procesos contractuales o de ajustes tardíos, y dotar al proyecto de un horizonte de ejecución coherente con su naturaleza materialmente plurianual.</w:t>
      </w:r>
    </w:p>
    <w:p w14:paraId="440A2AA1" w14:textId="55F964EF" w:rsid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 xml:space="preserve">Bajo esa comprensión, el recurso a las vigencias futuras no obedece a una mera conveniencia operativa, sino a la necesidad de garantizar una adecuada planeación presupuestal y contractual para la ejecución del proyecto 2615 “Educación que genera oportunidades”, de tal manera que el Fondo de Desarrollo Local de San Cristóbal pueda concurrir eficazmente al financiamiento del acceso y la permanencia de jóvenes de la localidad en programas de educación </w:t>
      </w:r>
      <w:proofErr w:type="spellStart"/>
      <w:r w:rsidRPr="00E04D4C">
        <w:rPr>
          <w:rFonts w:ascii="Garamond" w:hAnsi="Garamond"/>
          <w:sz w:val="22"/>
          <w:szCs w:val="22"/>
          <w:lang w:val="es-ES_tradnl"/>
        </w:rPr>
        <w:t>posmedia</w:t>
      </w:r>
      <w:proofErr w:type="spellEnd"/>
      <w:r w:rsidRPr="00E04D4C">
        <w:rPr>
          <w:rFonts w:ascii="Garamond" w:hAnsi="Garamond"/>
          <w:sz w:val="22"/>
          <w:szCs w:val="22"/>
          <w:lang w:val="es-ES_tradnl"/>
        </w:rPr>
        <w:t>, en articulación con ATENEA y con las instituciones de educación superior vinculadas al programa. La eventual estructuración de este instrumento permitirá, además, reducir riesgos de discontinuidad, fortalecer la trazabilidad del expediente contractual y preservar la coherencia entre las metas del Plan de Desarrollo Local, la operación del programa Jóvenes a la E y las exigencias de sostenibilidad administrativa y presupuestal que rigen la actuación de la entidad.</w:t>
      </w:r>
    </w:p>
    <w:p w14:paraId="5555A25B" w14:textId="77777777" w:rsidR="00E04D4C" w:rsidRP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 xml:space="preserve">Por lo expuesto anteriormente, resulta de gran importancia hacer uso de las vigencias futuras, teniendo en cuenta que, con la ejecución de estas a través de la suscripción de compromisos, se garantiza la prestación continua del servicio y se evitan los traumatismos derivados de los riesgos que se presentan al realizar un nuevo proceso de contratación o modificaciones contractuales, dada la recurrencia de este servicio y que los gastos de funcionamiento son necesarios para la adecuada misionalidad del Fondo de Desarrollo Local de San Cristóbal, se considera pertinente recurrir a esta herramienta de gestión presupuestal. </w:t>
      </w:r>
    </w:p>
    <w:p w14:paraId="091A1A09" w14:textId="51426CED" w:rsidR="00E04D4C" w:rsidRPr="00E04D4C" w:rsidRDefault="00E04D4C" w:rsidP="00E04D4C">
      <w:pPr>
        <w:spacing w:line="240" w:lineRule="auto"/>
        <w:jc w:val="both"/>
        <w:rPr>
          <w:rFonts w:ascii="Garamond" w:hAnsi="Garamond"/>
          <w:sz w:val="22"/>
          <w:szCs w:val="22"/>
          <w:lang w:val="es-ES_tradnl"/>
        </w:rPr>
      </w:pPr>
      <w:r w:rsidRPr="00E04D4C">
        <w:rPr>
          <w:rFonts w:ascii="Garamond" w:hAnsi="Garamond"/>
          <w:sz w:val="22"/>
          <w:szCs w:val="22"/>
          <w:lang w:val="es-ES_tradnl"/>
        </w:rPr>
        <w:t>Adicionalmente, en caso de requerirse algún tipo de intervención adicional no prevista, esta se financiará con los recursos asignados a la entidad, conforme al Marco de Gasto de Mediano Plazo, garantizando así la sostenibilidad fiscal y el cumplimiento de los compromisos adquiridos.</w:t>
      </w:r>
    </w:p>
    <w:p w14:paraId="6A95CE90" w14:textId="2688381B" w:rsidR="00E04D4C" w:rsidRDefault="00E04D4C" w:rsidP="00E04D4C">
      <w:pPr>
        <w:pStyle w:val="Prrafodelista"/>
        <w:numPr>
          <w:ilvl w:val="0"/>
          <w:numId w:val="3"/>
        </w:numPr>
        <w:spacing w:line="240" w:lineRule="auto"/>
        <w:jc w:val="both"/>
        <w:rPr>
          <w:rFonts w:ascii="Garamond" w:hAnsi="Garamond"/>
          <w:sz w:val="22"/>
          <w:szCs w:val="22"/>
          <w:lang w:val="es-ES_tradnl"/>
        </w:rPr>
      </w:pPr>
      <w:r w:rsidRPr="00E04D4C">
        <w:rPr>
          <w:rFonts w:ascii="Garamond" w:hAnsi="Garamond"/>
          <w:sz w:val="22"/>
          <w:szCs w:val="22"/>
          <w:lang w:val="es-ES_tradnl"/>
        </w:rPr>
        <w:t>Antecedentes del objeto de gasto solicitado</w:t>
      </w:r>
      <w:r>
        <w:rPr>
          <w:rFonts w:ascii="Garamond" w:hAnsi="Garamond"/>
          <w:sz w:val="22"/>
          <w:szCs w:val="22"/>
          <w:lang w:val="es-ES_tradnl"/>
        </w:rPr>
        <w:t xml:space="preserve">. </w:t>
      </w:r>
    </w:p>
    <w:tbl>
      <w:tblPr>
        <w:tblStyle w:val="TableNormal1"/>
        <w:tblW w:w="8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6135"/>
      </w:tblGrid>
      <w:tr w:rsidR="00E04D4C" w:rsidRPr="00E04D4C" w14:paraId="5892DB4C" w14:textId="77777777" w:rsidTr="00E04D4C">
        <w:trPr>
          <w:trHeight w:val="292"/>
          <w:jc w:val="center"/>
        </w:trPr>
        <w:tc>
          <w:tcPr>
            <w:tcW w:w="2693" w:type="dxa"/>
            <w:vAlign w:val="center"/>
          </w:tcPr>
          <w:p w14:paraId="096F41B2" w14:textId="77777777" w:rsidR="00E04D4C" w:rsidRPr="00E04D4C" w:rsidRDefault="00E04D4C" w:rsidP="00E04D4C">
            <w:pPr>
              <w:pStyle w:val="TableParagraph"/>
              <w:spacing w:before="29" w:line="243" w:lineRule="exact"/>
              <w:ind w:left="142"/>
              <w:jc w:val="center"/>
              <w:rPr>
                <w:rFonts w:ascii="Garamond" w:hAnsi="Garamond"/>
                <w:b/>
              </w:rPr>
            </w:pPr>
            <w:r w:rsidRPr="00E04D4C">
              <w:rPr>
                <w:rFonts w:ascii="Garamond" w:hAnsi="Garamond"/>
                <w:b/>
                <w:spacing w:val="-2"/>
              </w:rPr>
              <w:t>Vigencia</w:t>
            </w:r>
          </w:p>
        </w:tc>
        <w:tc>
          <w:tcPr>
            <w:tcW w:w="6135" w:type="dxa"/>
            <w:vAlign w:val="center"/>
          </w:tcPr>
          <w:p w14:paraId="0C37ED2F" w14:textId="77777777" w:rsidR="00E04D4C" w:rsidRPr="00E04D4C" w:rsidRDefault="00E04D4C" w:rsidP="00E04D4C">
            <w:pPr>
              <w:pStyle w:val="TableParagraph"/>
              <w:spacing w:before="29" w:line="243" w:lineRule="exact"/>
              <w:ind w:left="142"/>
              <w:jc w:val="center"/>
              <w:rPr>
                <w:rFonts w:ascii="Garamond" w:hAnsi="Garamond"/>
                <w:b/>
              </w:rPr>
            </w:pPr>
            <w:r w:rsidRPr="00E04D4C">
              <w:rPr>
                <w:rFonts w:ascii="Garamond" w:hAnsi="Garamond"/>
                <w:b/>
                <w:spacing w:val="-4"/>
              </w:rPr>
              <w:t>2025</w:t>
            </w:r>
          </w:p>
        </w:tc>
      </w:tr>
      <w:tr w:rsidR="00E04D4C" w:rsidRPr="009E61E4" w14:paraId="3390437E" w14:textId="77777777" w:rsidTr="00E04D4C">
        <w:trPr>
          <w:trHeight w:val="558"/>
          <w:jc w:val="center"/>
        </w:trPr>
        <w:tc>
          <w:tcPr>
            <w:tcW w:w="2693" w:type="dxa"/>
            <w:vAlign w:val="center"/>
          </w:tcPr>
          <w:p w14:paraId="14F3C76E"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spacing w:val="-4"/>
              </w:rPr>
              <w:t xml:space="preserve">Objeto </w:t>
            </w:r>
            <w:r w:rsidRPr="00E04D4C">
              <w:rPr>
                <w:rFonts w:ascii="Garamond" w:hAnsi="Garamond"/>
                <w:b/>
                <w:spacing w:val="-2"/>
              </w:rPr>
              <w:t>contractual</w:t>
            </w:r>
          </w:p>
        </w:tc>
        <w:tc>
          <w:tcPr>
            <w:tcW w:w="6135" w:type="dxa"/>
            <w:vAlign w:val="center"/>
          </w:tcPr>
          <w:p w14:paraId="6736921D" w14:textId="6D1DCBCB" w:rsidR="00E04D4C" w:rsidRPr="00E04D4C" w:rsidRDefault="00E04D4C" w:rsidP="00E04D4C">
            <w:pPr>
              <w:widowControl/>
              <w:adjustRightInd w:val="0"/>
              <w:ind w:left="142"/>
              <w:jc w:val="both"/>
              <w:rPr>
                <w:rFonts w:ascii="Garamond" w:hAnsi="Garamond"/>
                <w:lang w:val="es-CO"/>
              </w:rPr>
            </w:pPr>
            <w:r>
              <w:rPr>
                <w:rFonts w:ascii="Garamond" w:hAnsi="Garamond"/>
                <w:i/>
                <w:iCs/>
                <w:lang w:val="es-CO"/>
              </w:rPr>
              <w:t>«</w:t>
            </w:r>
            <w:r w:rsidRPr="00E04D4C">
              <w:rPr>
                <w:rFonts w:ascii="Garamond" w:hAnsi="Garamond"/>
                <w:i/>
                <w:iCs/>
                <w:lang w:val="es-CO"/>
              </w:rPr>
              <w:t>AUNAR ESFUERZOS Y RECURSOS TÉCNICOS, ADMINISTRATIVOS, JURÍDICOS, FINANCIEROS Y HUMANOS ENTRE EL FONDO DE DESARROLLO LOCAL DE SAN CRISTÓBAL Y LA AGENCIA ATENEA, PARA PROMOVER EL ACCESO Y LA PERMANENCIA DE LOS JÓVENES DE LA CIUDAD DE BOGOTÁ A LOS PROGRAMAS DE EDUCACIÓN POSMEDIA</w:t>
            </w:r>
            <w:r>
              <w:rPr>
                <w:rFonts w:ascii="Garamond" w:hAnsi="Garamond"/>
                <w:i/>
                <w:iCs/>
                <w:lang w:val="es-CO"/>
              </w:rPr>
              <w:t>»</w:t>
            </w:r>
            <w:r>
              <w:rPr>
                <w:rFonts w:ascii="Garamond" w:hAnsi="Garamond"/>
                <w:lang w:val="es-CO"/>
              </w:rPr>
              <w:t>.</w:t>
            </w:r>
          </w:p>
        </w:tc>
      </w:tr>
      <w:tr w:rsidR="00E04D4C" w:rsidRPr="009E61E4" w14:paraId="039B2CBE" w14:textId="77777777" w:rsidTr="00E04D4C">
        <w:trPr>
          <w:trHeight w:val="292"/>
          <w:jc w:val="center"/>
        </w:trPr>
        <w:tc>
          <w:tcPr>
            <w:tcW w:w="2693" w:type="dxa"/>
            <w:vAlign w:val="center"/>
          </w:tcPr>
          <w:p w14:paraId="407A1443"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rPr>
              <w:t>Posición</w:t>
            </w:r>
            <w:r w:rsidRPr="00E04D4C">
              <w:rPr>
                <w:rFonts w:ascii="Garamond" w:hAnsi="Garamond"/>
                <w:b/>
                <w:spacing w:val="-5"/>
              </w:rPr>
              <w:t xml:space="preserve"> </w:t>
            </w:r>
            <w:r w:rsidRPr="00E04D4C">
              <w:rPr>
                <w:rFonts w:ascii="Garamond" w:hAnsi="Garamond"/>
                <w:b/>
                <w:spacing w:val="-2"/>
              </w:rPr>
              <w:t>presupuestal</w:t>
            </w:r>
          </w:p>
        </w:tc>
        <w:tc>
          <w:tcPr>
            <w:tcW w:w="6135" w:type="dxa"/>
            <w:vAlign w:val="center"/>
          </w:tcPr>
          <w:p w14:paraId="26681FDD" w14:textId="77777777" w:rsidR="00E04D4C" w:rsidRPr="00E04D4C" w:rsidRDefault="00E04D4C" w:rsidP="00E04D4C">
            <w:pPr>
              <w:pStyle w:val="TableParagraph"/>
              <w:spacing w:before="27" w:line="245" w:lineRule="exact"/>
              <w:ind w:left="142"/>
              <w:jc w:val="center"/>
              <w:rPr>
                <w:rFonts w:ascii="Garamond" w:hAnsi="Garamond"/>
              </w:rPr>
            </w:pPr>
            <w:r w:rsidRPr="00E04D4C">
              <w:rPr>
                <w:rFonts w:ascii="Garamond" w:eastAsiaTheme="minorHAnsi" w:hAnsi="Garamond"/>
                <w:lang w:val="es-CO"/>
              </w:rPr>
              <w:t>O230117459920242615 - Educación que genera oportunidades</w:t>
            </w:r>
          </w:p>
        </w:tc>
      </w:tr>
      <w:tr w:rsidR="00E04D4C" w:rsidRPr="009E61E4" w14:paraId="708A3C5E" w14:textId="77777777" w:rsidTr="00E04D4C">
        <w:trPr>
          <w:trHeight w:val="290"/>
          <w:jc w:val="center"/>
        </w:trPr>
        <w:tc>
          <w:tcPr>
            <w:tcW w:w="2693" w:type="dxa"/>
            <w:vAlign w:val="center"/>
          </w:tcPr>
          <w:p w14:paraId="73102520" w14:textId="77777777" w:rsidR="00E04D4C" w:rsidRPr="00E04D4C" w:rsidRDefault="00E04D4C" w:rsidP="00E04D4C">
            <w:pPr>
              <w:pStyle w:val="TableParagraph"/>
              <w:spacing w:before="27" w:line="243" w:lineRule="exact"/>
              <w:ind w:left="142"/>
              <w:jc w:val="center"/>
              <w:rPr>
                <w:rFonts w:ascii="Garamond" w:hAnsi="Garamond"/>
                <w:b/>
              </w:rPr>
            </w:pPr>
            <w:r w:rsidRPr="00E04D4C">
              <w:rPr>
                <w:rFonts w:ascii="Garamond" w:hAnsi="Garamond"/>
                <w:b/>
                <w:spacing w:val="-2"/>
              </w:rPr>
              <w:t>Fuente</w:t>
            </w:r>
          </w:p>
        </w:tc>
        <w:tc>
          <w:tcPr>
            <w:tcW w:w="6135" w:type="dxa"/>
            <w:vAlign w:val="center"/>
          </w:tcPr>
          <w:p w14:paraId="4D6D2DFE" w14:textId="77777777" w:rsidR="00E04D4C" w:rsidRPr="00E04D4C" w:rsidRDefault="00E04D4C" w:rsidP="00E04D4C">
            <w:pPr>
              <w:pStyle w:val="TableParagraph"/>
              <w:spacing w:before="27" w:line="243" w:lineRule="exact"/>
              <w:ind w:left="142"/>
              <w:jc w:val="center"/>
              <w:rPr>
                <w:rFonts w:ascii="Garamond" w:hAnsi="Garamond"/>
              </w:rPr>
            </w:pPr>
            <w:r w:rsidRPr="00E04D4C">
              <w:rPr>
                <w:rFonts w:ascii="Garamond" w:hAnsi="Garamond"/>
                <w:spacing w:val="-6"/>
              </w:rPr>
              <w:t>1-100-I079</w:t>
            </w:r>
            <w:r w:rsidRPr="00E04D4C">
              <w:rPr>
                <w:rFonts w:ascii="Garamond" w:hAnsi="Garamond"/>
                <w:spacing w:val="7"/>
              </w:rPr>
              <w:t xml:space="preserve"> </w:t>
            </w:r>
            <w:r w:rsidRPr="00E04D4C">
              <w:rPr>
                <w:rFonts w:ascii="Garamond" w:hAnsi="Garamond"/>
                <w:spacing w:val="-6"/>
              </w:rPr>
              <w:t>VA-INGRESOS</w:t>
            </w:r>
            <w:r w:rsidRPr="00E04D4C">
              <w:rPr>
                <w:rFonts w:ascii="Garamond" w:hAnsi="Garamond"/>
                <w:spacing w:val="9"/>
              </w:rPr>
              <w:t xml:space="preserve"> </w:t>
            </w:r>
            <w:r w:rsidRPr="00E04D4C">
              <w:rPr>
                <w:rFonts w:ascii="Garamond" w:hAnsi="Garamond"/>
                <w:spacing w:val="-6"/>
              </w:rPr>
              <w:t>CORRIENTES</w:t>
            </w:r>
            <w:r w:rsidRPr="00E04D4C">
              <w:rPr>
                <w:rFonts w:ascii="Garamond" w:hAnsi="Garamond"/>
                <w:spacing w:val="9"/>
              </w:rPr>
              <w:t xml:space="preserve"> </w:t>
            </w:r>
            <w:r w:rsidRPr="00E04D4C">
              <w:rPr>
                <w:rFonts w:ascii="Garamond" w:hAnsi="Garamond"/>
                <w:spacing w:val="-6"/>
              </w:rPr>
              <w:t>FDL</w:t>
            </w:r>
          </w:p>
        </w:tc>
      </w:tr>
      <w:tr w:rsidR="00E04D4C" w:rsidRPr="00E04D4C" w14:paraId="116200EC" w14:textId="77777777" w:rsidTr="00E04D4C">
        <w:trPr>
          <w:trHeight w:val="292"/>
          <w:jc w:val="center"/>
        </w:trPr>
        <w:tc>
          <w:tcPr>
            <w:tcW w:w="2693" w:type="dxa"/>
            <w:vAlign w:val="center"/>
          </w:tcPr>
          <w:p w14:paraId="023ACCDA" w14:textId="77777777" w:rsidR="00E04D4C" w:rsidRPr="00E04D4C" w:rsidRDefault="00E04D4C" w:rsidP="00E04D4C">
            <w:pPr>
              <w:pStyle w:val="TableParagraph"/>
              <w:spacing w:before="30" w:line="243" w:lineRule="exact"/>
              <w:ind w:left="142"/>
              <w:jc w:val="center"/>
              <w:rPr>
                <w:rFonts w:ascii="Garamond" w:hAnsi="Garamond"/>
                <w:b/>
              </w:rPr>
            </w:pPr>
            <w:r w:rsidRPr="00E04D4C">
              <w:rPr>
                <w:rFonts w:ascii="Garamond" w:hAnsi="Garamond"/>
                <w:b/>
                <w:w w:val="90"/>
              </w:rPr>
              <w:t>Valor</w:t>
            </w:r>
            <w:r w:rsidRPr="00E04D4C">
              <w:rPr>
                <w:rFonts w:ascii="Garamond" w:hAnsi="Garamond"/>
                <w:b/>
                <w:spacing w:val="-3"/>
              </w:rPr>
              <w:t xml:space="preserve"> </w:t>
            </w:r>
            <w:r w:rsidRPr="00E04D4C">
              <w:rPr>
                <w:rFonts w:ascii="Garamond" w:hAnsi="Garamond"/>
                <w:b/>
                <w:spacing w:val="-2"/>
              </w:rPr>
              <w:t>contratado</w:t>
            </w:r>
          </w:p>
        </w:tc>
        <w:tc>
          <w:tcPr>
            <w:tcW w:w="6135" w:type="dxa"/>
            <w:vAlign w:val="center"/>
          </w:tcPr>
          <w:p w14:paraId="24D16D7C" w14:textId="77777777" w:rsidR="00E04D4C" w:rsidRPr="00E04D4C" w:rsidRDefault="00E04D4C" w:rsidP="00E04D4C">
            <w:pPr>
              <w:pStyle w:val="TableParagraph"/>
              <w:spacing w:before="30" w:line="243" w:lineRule="exact"/>
              <w:ind w:left="142"/>
              <w:jc w:val="center"/>
              <w:rPr>
                <w:rFonts w:ascii="Garamond" w:hAnsi="Garamond"/>
              </w:rPr>
            </w:pPr>
            <w:r w:rsidRPr="00E04D4C">
              <w:rPr>
                <w:rFonts w:ascii="Garamond" w:hAnsi="Garamond"/>
                <w:spacing w:val="-2"/>
              </w:rPr>
              <w:t>$8.467.000.000</w:t>
            </w:r>
          </w:p>
        </w:tc>
      </w:tr>
      <w:tr w:rsidR="00E04D4C" w:rsidRPr="00E04D4C" w14:paraId="731194AF" w14:textId="77777777" w:rsidTr="00E04D4C">
        <w:trPr>
          <w:trHeight w:val="359"/>
          <w:jc w:val="center"/>
        </w:trPr>
        <w:tc>
          <w:tcPr>
            <w:tcW w:w="2693" w:type="dxa"/>
            <w:vAlign w:val="center"/>
          </w:tcPr>
          <w:p w14:paraId="77CA242A"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rPr>
              <w:t>No.</w:t>
            </w:r>
            <w:r w:rsidRPr="00E04D4C">
              <w:rPr>
                <w:rFonts w:ascii="Garamond" w:hAnsi="Garamond"/>
                <w:b/>
                <w:spacing w:val="23"/>
              </w:rPr>
              <w:t xml:space="preserve"> </w:t>
            </w:r>
            <w:r w:rsidRPr="00E04D4C">
              <w:rPr>
                <w:rFonts w:ascii="Garamond" w:hAnsi="Garamond"/>
                <w:b/>
                <w:spacing w:val="-2"/>
              </w:rPr>
              <w:t>Contrato</w:t>
            </w:r>
          </w:p>
        </w:tc>
        <w:tc>
          <w:tcPr>
            <w:tcW w:w="6135" w:type="dxa"/>
            <w:vAlign w:val="center"/>
          </w:tcPr>
          <w:p w14:paraId="20DA5592" w14:textId="77777777" w:rsidR="00E04D4C" w:rsidRPr="00E04D4C" w:rsidRDefault="00E04D4C" w:rsidP="00E04D4C">
            <w:pPr>
              <w:pStyle w:val="TableParagraph"/>
              <w:spacing w:before="27"/>
              <w:ind w:left="142"/>
              <w:jc w:val="center"/>
              <w:rPr>
                <w:rFonts w:ascii="Garamond" w:hAnsi="Garamond"/>
              </w:rPr>
            </w:pPr>
            <w:r w:rsidRPr="00E04D4C">
              <w:rPr>
                <w:rFonts w:ascii="Garamond" w:hAnsi="Garamond"/>
                <w:spacing w:val="-4"/>
              </w:rPr>
              <w:t>677-2025</w:t>
            </w:r>
          </w:p>
        </w:tc>
      </w:tr>
      <w:tr w:rsidR="00E04D4C" w:rsidRPr="00E04D4C" w14:paraId="2121FB88" w14:textId="77777777" w:rsidTr="00E04D4C">
        <w:trPr>
          <w:trHeight w:val="340"/>
          <w:jc w:val="center"/>
        </w:trPr>
        <w:tc>
          <w:tcPr>
            <w:tcW w:w="2693" w:type="dxa"/>
            <w:vAlign w:val="center"/>
          </w:tcPr>
          <w:p w14:paraId="0481E4D4"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rPr>
              <w:t>Fecha</w:t>
            </w:r>
            <w:r w:rsidRPr="00E04D4C">
              <w:rPr>
                <w:rFonts w:ascii="Garamond" w:hAnsi="Garamond"/>
                <w:b/>
                <w:spacing w:val="-8"/>
              </w:rPr>
              <w:t xml:space="preserve"> </w:t>
            </w:r>
            <w:r w:rsidRPr="00E04D4C">
              <w:rPr>
                <w:rFonts w:ascii="Garamond" w:hAnsi="Garamond"/>
                <w:b/>
              </w:rPr>
              <w:t>de</w:t>
            </w:r>
            <w:r w:rsidRPr="00E04D4C">
              <w:rPr>
                <w:rFonts w:ascii="Garamond" w:hAnsi="Garamond"/>
                <w:b/>
                <w:spacing w:val="-7"/>
              </w:rPr>
              <w:t xml:space="preserve"> </w:t>
            </w:r>
            <w:r w:rsidRPr="00E04D4C">
              <w:rPr>
                <w:rFonts w:ascii="Garamond" w:hAnsi="Garamond"/>
                <w:b/>
                <w:spacing w:val="-2"/>
              </w:rPr>
              <w:t>inicio</w:t>
            </w:r>
          </w:p>
        </w:tc>
        <w:tc>
          <w:tcPr>
            <w:tcW w:w="6135" w:type="dxa"/>
            <w:vAlign w:val="center"/>
          </w:tcPr>
          <w:p w14:paraId="06345809" w14:textId="77777777" w:rsidR="00E04D4C" w:rsidRPr="00E04D4C" w:rsidRDefault="00E04D4C" w:rsidP="00E04D4C">
            <w:pPr>
              <w:pStyle w:val="TableParagraph"/>
              <w:spacing w:before="27"/>
              <w:ind w:left="142"/>
              <w:jc w:val="center"/>
              <w:rPr>
                <w:rFonts w:ascii="Garamond" w:hAnsi="Garamond"/>
              </w:rPr>
            </w:pPr>
            <w:r w:rsidRPr="00E04D4C">
              <w:rPr>
                <w:rFonts w:ascii="Garamond" w:hAnsi="Garamond"/>
                <w:w w:val="90"/>
              </w:rPr>
              <w:t>14-07-</w:t>
            </w:r>
            <w:r w:rsidRPr="00E04D4C">
              <w:rPr>
                <w:rFonts w:ascii="Garamond" w:hAnsi="Garamond"/>
                <w:spacing w:val="-4"/>
                <w:w w:val="90"/>
              </w:rPr>
              <w:t>2025</w:t>
            </w:r>
          </w:p>
        </w:tc>
      </w:tr>
      <w:tr w:rsidR="00E04D4C" w:rsidRPr="00E04D4C" w14:paraId="574F0264" w14:textId="77777777" w:rsidTr="00E04D4C">
        <w:trPr>
          <w:trHeight w:val="338"/>
          <w:jc w:val="center"/>
        </w:trPr>
        <w:tc>
          <w:tcPr>
            <w:tcW w:w="2693" w:type="dxa"/>
            <w:vAlign w:val="center"/>
          </w:tcPr>
          <w:p w14:paraId="2FBB54F8"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spacing w:val="-2"/>
              </w:rPr>
              <w:t>Fecha</w:t>
            </w:r>
            <w:r w:rsidRPr="00E04D4C">
              <w:rPr>
                <w:rFonts w:ascii="Garamond" w:hAnsi="Garamond"/>
                <w:b/>
                <w:spacing w:val="-10"/>
              </w:rPr>
              <w:t xml:space="preserve"> </w:t>
            </w:r>
            <w:r w:rsidRPr="00E04D4C">
              <w:rPr>
                <w:rFonts w:ascii="Garamond" w:hAnsi="Garamond"/>
                <w:b/>
                <w:spacing w:val="-2"/>
              </w:rPr>
              <w:t>de</w:t>
            </w:r>
            <w:r w:rsidRPr="00E04D4C">
              <w:rPr>
                <w:rFonts w:ascii="Garamond" w:hAnsi="Garamond"/>
                <w:b/>
                <w:spacing w:val="-9"/>
              </w:rPr>
              <w:t xml:space="preserve"> </w:t>
            </w:r>
            <w:r w:rsidRPr="00E04D4C">
              <w:rPr>
                <w:rFonts w:ascii="Garamond" w:hAnsi="Garamond"/>
                <w:b/>
                <w:spacing w:val="-2"/>
              </w:rPr>
              <w:t>terminación</w:t>
            </w:r>
            <w:r w:rsidRPr="00E04D4C">
              <w:rPr>
                <w:rFonts w:ascii="Garamond" w:hAnsi="Garamond"/>
                <w:b/>
                <w:spacing w:val="-9"/>
              </w:rPr>
              <w:t xml:space="preserve"> </w:t>
            </w:r>
            <w:r w:rsidRPr="00E04D4C">
              <w:rPr>
                <w:rFonts w:ascii="Garamond" w:hAnsi="Garamond"/>
                <w:b/>
                <w:spacing w:val="-2"/>
              </w:rPr>
              <w:t>inicial</w:t>
            </w:r>
          </w:p>
        </w:tc>
        <w:tc>
          <w:tcPr>
            <w:tcW w:w="6135" w:type="dxa"/>
            <w:vAlign w:val="center"/>
          </w:tcPr>
          <w:p w14:paraId="40B7694A" w14:textId="77777777" w:rsidR="00E04D4C" w:rsidRPr="00E04D4C" w:rsidRDefault="00E04D4C" w:rsidP="00E04D4C">
            <w:pPr>
              <w:pStyle w:val="TableParagraph"/>
              <w:spacing w:before="27"/>
              <w:ind w:left="142"/>
              <w:jc w:val="center"/>
              <w:rPr>
                <w:rFonts w:ascii="Garamond" w:hAnsi="Garamond"/>
              </w:rPr>
            </w:pPr>
            <w:r w:rsidRPr="00E04D4C">
              <w:rPr>
                <w:rFonts w:ascii="Garamond" w:hAnsi="Garamond"/>
                <w:w w:val="90"/>
              </w:rPr>
              <w:t>30-06-</w:t>
            </w:r>
            <w:r w:rsidRPr="00E04D4C">
              <w:rPr>
                <w:rFonts w:ascii="Garamond" w:hAnsi="Garamond"/>
                <w:spacing w:val="-4"/>
                <w:w w:val="90"/>
              </w:rPr>
              <w:t>2032</w:t>
            </w:r>
          </w:p>
        </w:tc>
      </w:tr>
      <w:tr w:rsidR="00E04D4C" w:rsidRPr="00E04D4C" w14:paraId="14435BE7" w14:textId="77777777" w:rsidTr="00E04D4C">
        <w:trPr>
          <w:trHeight w:val="340"/>
          <w:jc w:val="center"/>
        </w:trPr>
        <w:tc>
          <w:tcPr>
            <w:tcW w:w="2693" w:type="dxa"/>
            <w:vAlign w:val="center"/>
          </w:tcPr>
          <w:p w14:paraId="0D1B8D40" w14:textId="77777777" w:rsidR="00E04D4C" w:rsidRPr="00E04D4C" w:rsidRDefault="00E04D4C" w:rsidP="00E04D4C">
            <w:pPr>
              <w:pStyle w:val="TableParagraph"/>
              <w:spacing w:before="29"/>
              <w:ind w:left="142"/>
              <w:jc w:val="center"/>
              <w:rPr>
                <w:rFonts w:ascii="Garamond" w:hAnsi="Garamond"/>
                <w:b/>
              </w:rPr>
            </w:pPr>
            <w:r w:rsidRPr="00E04D4C">
              <w:rPr>
                <w:rFonts w:ascii="Garamond" w:hAnsi="Garamond"/>
                <w:b/>
                <w:spacing w:val="-4"/>
              </w:rPr>
              <w:t>Plazo contrato inicial</w:t>
            </w:r>
          </w:p>
        </w:tc>
        <w:tc>
          <w:tcPr>
            <w:tcW w:w="6135" w:type="dxa"/>
            <w:vAlign w:val="center"/>
          </w:tcPr>
          <w:p w14:paraId="75067855" w14:textId="77777777" w:rsidR="00E04D4C" w:rsidRPr="00E04D4C" w:rsidRDefault="00E04D4C" w:rsidP="00E04D4C">
            <w:pPr>
              <w:pStyle w:val="TableParagraph"/>
              <w:spacing w:before="29"/>
              <w:ind w:left="142"/>
              <w:jc w:val="center"/>
              <w:rPr>
                <w:rFonts w:ascii="Garamond" w:hAnsi="Garamond"/>
              </w:rPr>
            </w:pPr>
            <w:r w:rsidRPr="00E04D4C">
              <w:rPr>
                <w:rFonts w:ascii="Garamond" w:hAnsi="Garamond"/>
              </w:rPr>
              <w:t>Hasta el 30-06-2026</w:t>
            </w:r>
          </w:p>
        </w:tc>
      </w:tr>
      <w:tr w:rsidR="00E04D4C" w:rsidRPr="00E04D4C" w14:paraId="1E65CF77" w14:textId="77777777" w:rsidTr="00E04D4C">
        <w:trPr>
          <w:trHeight w:val="292"/>
          <w:jc w:val="center"/>
        </w:trPr>
        <w:tc>
          <w:tcPr>
            <w:tcW w:w="2693" w:type="dxa"/>
            <w:vAlign w:val="center"/>
          </w:tcPr>
          <w:p w14:paraId="77296C87"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spacing w:val="-2"/>
              </w:rPr>
              <w:t>Modificaciones</w:t>
            </w:r>
          </w:p>
        </w:tc>
        <w:tc>
          <w:tcPr>
            <w:tcW w:w="6135" w:type="dxa"/>
            <w:vAlign w:val="center"/>
          </w:tcPr>
          <w:p w14:paraId="0B357F6A" w14:textId="77777777" w:rsidR="00E04D4C" w:rsidRPr="00E04D4C" w:rsidRDefault="00E04D4C" w:rsidP="00E04D4C">
            <w:pPr>
              <w:pStyle w:val="TableParagraph"/>
              <w:spacing w:before="27" w:line="245" w:lineRule="exact"/>
              <w:ind w:left="142"/>
              <w:jc w:val="center"/>
              <w:rPr>
                <w:rFonts w:ascii="Garamond" w:hAnsi="Garamond"/>
              </w:rPr>
            </w:pPr>
            <w:r w:rsidRPr="00E04D4C">
              <w:rPr>
                <w:rFonts w:ascii="Garamond" w:hAnsi="Garamond"/>
                <w:spacing w:val="-5"/>
                <w:w w:val="115"/>
              </w:rPr>
              <w:t>N/A</w:t>
            </w:r>
          </w:p>
        </w:tc>
      </w:tr>
      <w:tr w:rsidR="00E04D4C" w:rsidRPr="00E04D4C" w14:paraId="0BD0B55B" w14:textId="77777777" w:rsidTr="00E04D4C">
        <w:trPr>
          <w:trHeight w:val="292"/>
          <w:jc w:val="center"/>
        </w:trPr>
        <w:tc>
          <w:tcPr>
            <w:tcW w:w="2693" w:type="dxa"/>
            <w:vAlign w:val="center"/>
          </w:tcPr>
          <w:p w14:paraId="42D4C66C" w14:textId="77777777" w:rsidR="00E04D4C" w:rsidRPr="00E04D4C" w:rsidRDefault="00E04D4C" w:rsidP="00E04D4C">
            <w:pPr>
              <w:pStyle w:val="TableParagraph"/>
              <w:spacing w:before="28" w:line="245" w:lineRule="exact"/>
              <w:ind w:left="142"/>
              <w:jc w:val="center"/>
              <w:rPr>
                <w:rFonts w:ascii="Garamond" w:hAnsi="Garamond"/>
                <w:b/>
              </w:rPr>
            </w:pPr>
            <w:r w:rsidRPr="00E04D4C">
              <w:rPr>
                <w:rFonts w:ascii="Garamond" w:hAnsi="Garamond"/>
                <w:b/>
                <w:spacing w:val="-2"/>
              </w:rPr>
              <w:t>Fecha</w:t>
            </w:r>
            <w:r w:rsidRPr="00E04D4C">
              <w:rPr>
                <w:rFonts w:ascii="Garamond" w:hAnsi="Garamond"/>
                <w:b/>
                <w:spacing w:val="-11"/>
              </w:rPr>
              <w:t xml:space="preserve"> </w:t>
            </w:r>
            <w:r w:rsidRPr="00E04D4C">
              <w:rPr>
                <w:rFonts w:ascii="Garamond" w:hAnsi="Garamond"/>
                <w:b/>
                <w:spacing w:val="-2"/>
              </w:rPr>
              <w:t>de</w:t>
            </w:r>
            <w:r w:rsidRPr="00E04D4C">
              <w:rPr>
                <w:rFonts w:ascii="Garamond" w:hAnsi="Garamond"/>
                <w:b/>
                <w:spacing w:val="-9"/>
              </w:rPr>
              <w:t xml:space="preserve"> </w:t>
            </w:r>
            <w:r w:rsidRPr="00E04D4C">
              <w:rPr>
                <w:rFonts w:ascii="Garamond" w:hAnsi="Garamond"/>
                <w:b/>
                <w:spacing w:val="-2"/>
              </w:rPr>
              <w:t>terminación</w:t>
            </w:r>
            <w:r w:rsidRPr="00E04D4C">
              <w:rPr>
                <w:rFonts w:ascii="Garamond" w:hAnsi="Garamond"/>
                <w:b/>
                <w:spacing w:val="-11"/>
              </w:rPr>
              <w:t xml:space="preserve"> </w:t>
            </w:r>
            <w:r w:rsidRPr="00E04D4C">
              <w:rPr>
                <w:rFonts w:ascii="Garamond" w:hAnsi="Garamond"/>
                <w:b/>
                <w:spacing w:val="-4"/>
              </w:rPr>
              <w:t>final</w:t>
            </w:r>
          </w:p>
        </w:tc>
        <w:tc>
          <w:tcPr>
            <w:tcW w:w="6135" w:type="dxa"/>
            <w:vAlign w:val="center"/>
          </w:tcPr>
          <w:p w14:paraId="77CCEDEE" w14:textId="77777777" w:rsidR="00E04D4C" w:rsidRPr="00E04D4C" w:rsidRDefault="00E04D4C" w:rsidP="00E04D4C">
            <w:pPr>
              <w:pStyle w:val="TableParagraph"/>
              <w:spacing w:before="28" w:line="245" w:lineRule="exact"/>
              <w:ind w:left="142"/>
              <w:jc w:val="center"/>
              <w:rPr>
                <w:rFonts w:ascii="Garamond" w:hAnsi="Garamond"/>
              </w:rPr>
            </w:pPr>
            <w:r w:rsidRPr="00E04D4C">
              <w:rPr>
                <w:rFonts w:ascii="Garamond" w:hAnsi="Garamond"/>
                <w:w w:val="90"/>
              </w:rPr>
              <w:t>30-06-</w:t>
            </w:r>
            <w:r w:rsidRPr="00E04D4C">
              <w:rPr>
                <w:rFonts w:ascii="Garamond" w:hAnsi="Garamond"/>
                <w:spacing w:val="-4"/>
                <w:w w:val="90"/>
              </w:rPr>
              <w:t>2032</w:t>
            </w:r>
          </w:p>
        </w:tc>
      </w:tr>
      <w:tr w:rsidR="00E04D4C" w:rsidRPr="00E04D4C" w14:paraId="714C0730" w14:textId="77777777" w:rsidTr="00E04D4C">
        <w:trPr>
          <w:trHeight w:val="292"/>
          <w:jc w:val="center"/>
        </w:trPr>
        <w:tc>
          <w:tcPr>
            <w:tcW w:w="2693" w:type="dxa"/>
            <w:vAlign w:val="center"/>
          </w:tcPr>
          <w:p w14:paraId="60CA1B21"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spacing w:val="-8"/>
              </w:rPr>
              <w:t>Valor</w:t>
            </w:r>
            <w:r w:rsidRPr="00E04D4C">
              <w:rPr>
                <w:rFonts w:ascii="Garamond" w:hAnsi="Garamond"/>
                <w:b/>
                <w:spacing w:val="-2"/>
              </w:rPr>
              <w:t xml:space="preserve"> </w:t>
            </w:r>
            <w:r w:rsidRPr="00E04D4C">
              <w:rPr>
                <w:rFonts w:ascii="Garamond" w:hAnsi="Garamond"/>
                <w:b/>
                <w:spacing w:val="-8"/>
              </w:rPr>
              <w:t>total</w:t>
            </w:r>
            <w:r w:rsidRPr="00E04D4C">
              <w:rPr>
                <w:rFonts w:ascii="Garamond" w:hAnsi="Garamond"/>
                <w:b/>
                <w:spacing w:val="-2"/>
              </w:rPr>
              <w:t xml:space="preserve"> </w:t>
            </w:r>
            <w:r w:rsidRPr="00E04D4C">
              <w:rPr>
                <w:rFonts w:ascii="Garamond" w:hAnsi="Garamond"/>
                <w:b/>
                <w:spacing w:val="-8"/>
              </w:rPr>
              <w:t>contrato</w:t>
            </w:r>
          </w:p>
        </w:tc>
        <w:tc>
          <w:tcPr>
            <w:tcW w:w="6135" w:type="dxa"/>
            <w:vAlign w:val="center"/>
          </w:tcPr>
          <w:p w14:paraId="447FAE3C" w14:textId="77777777" w:rsidR="00E04D4C" w:rsidRPr="00E04D4C" w:rsidRDefault="00E04D4C" w:rsidP="00E04D4C">
            <w:pPr>
              <w:pStyle w:val="TableParagraph"/>
              <w:spacing w:before="27" w:line="245" w:lineRule="exact"/>
              <w:ind w:left="142"/>
              <w:jc w:val="center"/>
              <w:rPr>
                <w:rFonts w:ascii="Garamond" w:hAnsi="Garamond"/>
              </w:rPr>
            </w:pPr>
            <w:r w:rsidRPr="00E04D4C">
              <w:rPr>
                <w:rFonts w:ascii="Garamond" w:hAnsi="Garamond"/>
                <w:spacing w:val="-2"/>
              </w:rPr>
              <w:t>$8.467.000.000</w:t>
            </w:r>
          </w:p>
        </w:tc>
      </w:tr>
    </w:tbl>
    <w:p w14:paraId="0929024C" w14:textId="77777777" w:rsidR="00E04D4C" w:rsidRDefault="00E04D4C" w:rsidP="00E04D4C">
      <w:pPr>
        <w:spacing w:line="240" w:lineRule="auto"/>
        <w:jc w:val="both"/>
        <w:rPr>
          <w:rFonts w:ascii="Garamond" w:hAnsi="Garamond"/>
          <w:sz w:val="22"/>
          <w:szCs w:val="22"/>
          <w:lang w:val="es-ES_tradnl"/>
        </w:rPr>
      </w:pPr>
    </w:p>
    <w:tbl>
      <w:tblPr>
        <w:tblStyle w:val="TableNormal1"/>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6096"/>
      </w:tblGrid>
      <w:tr w:rsidR="00E04D4C" w:rsidRPr="00E04D4C" w14:paraId="2E5FCD62" w14:textId="77777777" w:rsidTr="00E04D4C">
        <w:trPr>
          <w:trHeight w:val="258"/>
        </w:trPr>
        <w:tc>
          <w:tcPr>
            <w:tcW w:w="2693" w:type="dxa"/>
            <w:vAlign w:val="center"/>
          </w:tcPr>
          <w:p w14:paraId="677D1103"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spacing w:val="-2"/>
              </w:rPr>
              <w:t>Vigencia</w:t>
            </w:r>
          </w:p>
        </w:tc>
        <w:tc>
          <w:tcPr>
            <w:tcW w:w="6096" w:type="dxa"/>
            <w:vAlign w:val="center"/>
          </w:tcPr>
          <w:p w14:paraId="44027C1A"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spacing w:val="-4"/>
              </w:rPr>
              <w:t>2024</w:t>
            </w:r>
          </w:p>
        </w:tc>
      </w:tr>
      <w:tr w:rsidR="00E04D4C" w:rsidRPr="009E61E4" w14:paraId="6A6101B3" w14:textId="77777777" w:rsidTr="00E04D4C">
        <w:trPr>
          <w:trHeight w:val="1124"/>
        </w:trPr>
        <w:tc>
          <w:tcPr>
            <w:tcW w:w="2693" w:type="dxa"/>
            <w:vAlign w:val="center"/>
          </w:tcPr>
          <w:p w14:paraId="2C56FD92"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spacing w:val="-4"/>
              </w:rPr>
              <w:lastRenderedPageBreak/>
              <w:t xml:space="preserve">Objeto </w:t>
            </w:r>
            <w:r w:rsidRPr="00E04D4C">
              <w:rPr>
                <w:rFonts w:ascii="Garamond" w:hAnsi="Garamond"/>
                <w:b/>
                <w:spacing w:val="-2"/>
              </w:rPr>
              <w:t>contractual</w:t>
            </w:r>
          </w:p>
        </w:tc>
        <w:tc>
          <w:tcPr>
            <w:tcW w:w="6096" w:type="dxa"/>
            <w:vAlign w:val="center"/>
          </w:tcPr>
          <w:p w14:paraId="204AA322" w14:textId="234859C9" w:rsidR="00E04D4C" w:rsidRPr="00E04D4C" w:rsidRDefault="00E04D4C" w:rsidP="00E04D4C">
            <w:pPr>
              <w:pStyle w:val="TableParagraph"/>
              <w:spacing w:before="27" w:line="278" w:lineRule="auto"/>
              <w:ind w:left="142" w:right="-15"/>
              <w:jc w:val="both"/>
              <w:rPr>
                <w:rFonts w:ascii="Garamond" w:hAnsi="Garamond"/>
                <w:i/>
                <w:iCs/>
              </w:rPr>
            </w:pPr>
            <w:r>
              <w:rPr>
                <w:rFonts w:ascii="Garamond" w:hAnsi="Garamond"/>
                <w:i/>
                <w:iCs/>
              </w:rPr>
              <w:t>«</w:t>
            </w:r>
            <w:r w:rsidRPr="00E04D4C">
              <w:rPr>
                <w:rFonts w:ascii="Garamond" w:hAnsi="Garamond"/>
                <w:i/>
                <w:iCs/>
              </w:rPr>
              <w:t>AUNAR ESFUERZOS TÉCNICOS, ADMINISTRATIVOS, JURÍDICOS Y FINANCIEROS PARA LA IMPLEMENTACIÓN DEL PROGRAMA JÓVENES A LA E, PARA EL ACCESO Y LA PERMANENCIA DE LAS Y LOS JÓVENES, EN LA CIUDAD DE BOGOTÁ, PARTICULARMENTE PARA LOS JÓVENES DE LA LOCALIDAD DE SAN CRISTÓBAL</w:t>
            </w:r>
            <w:r>
              <w:rPr>
                <w:rFonts w:ascii="Garamond" w:hAnsi="Garamond"/>
                <w:i/>
                <w:iCs/>
              </w:rPr>
              <w:t>»</w:t>
            </w:r>
            <w:r w:rsidRPr="00E04D4C">
              <w:rPr>
                <w:rFonts w:ascii="Garamond" w:hAnsi="Garamond"/>
                <w:i/>
                <w:iCs/>
              </w:rPr>
              <w:t>.</w:t>
            </w:r>
          </w:p>
        </w:tc>
      </w:tr>
      <w:tr w:rsidR="00E04D4C" w:rsidRPr="00E04D4C" w14:paraId="478B36B3" w14:textId="77777777" w:rsidTr="00E04D4C">
        <w:trPr>
          <w:trHeight w:val="258"/>
        </w:trPr>
        <w:tc>
          <w:tcPr>
            <w:tcW w:w="2693" w:type="dxa"/>
            <w:vAlign w:val="center"/>
          </w:tcPr>
          <w:p w14:paraId="268B32A1"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rPr>
              <w:t>Posición</w:t>
            </w:r>
            <w:r w:rsidRPr="00E04D4C">
              <w:rPr>
                <w:rFonts w:ascii="Garamond" w:hAnsi="Garamond"/>
                <w:b/>
                <w:spacing w:val="-5"/>
              </w:rPr>
              <w:t xml:space="preserve"> </w:t>
            </w:r>
            <w:r w:rsidRPr="00E04D4C">
              <w:rPr>
                <w:rFonts w:ascii="Garamond" w:hAnsi="Garamond"/>
                <w:b/>
                <w:spacing w:val="-2"/>
              </w:rPr>
              <w:t>presupuestal</w:t>
            </w:r>
          </w:p>
        </w:tc>
        <w:tc>
          <w:tcPr>
            <w:tcW w:w="6096" w:type="dxa"/>
            <w:vAlign w:val="center"/>
          </w:tcPr>
          <w:p w14:paraId="452214F8" w14:textId="77777777" w:rsidR="00E04D4C" w:rsidRPr="00E04D4C" w:rsidRDefault="00E04D4C" w:rsidP="00E04D4C">
            <w:pPr>
              <w:pStyle w:val="TableParagraph"/>
              <w:spacing w:before="27" w:line="245" w:lineRule="exact"/>
              <w:ind w:left="142"/>
              <w:jc w:val="center"/>
              <w:rPr>
                <w:rFonts w:ascii="Garamond" w:hAnsi="Garamond"/>
              </w:rPr>
            </w:pPr>
            <w:r w:rsidRPr="00E04D4C">
              <w:rPr>
                <w:rFonts w:ascii="Garamond" w:hAnsi="Garamond"/>
              </w:rPr>
              <w:t>O23011601170000001792</w:t>
            </w:r>
          </w:p>
        </w:tc>
      </w:tr>
      <w:tr w:rsidR="00E04D4C" w:rsidRPr="009E61E4" w14:paraId="13854CA3" w14:textId="77777777" w:rsidTr="00E04D4C">
        <w:trPr>
          <w:trHeight w:val="258"/>
        </w:trPr>
        <w:tc>
          <w:tcPr>
            <w:tcW w:w="2693" w:type="dxa"/>
            <w:vAlign w:val="center"/>
          </w:tcPr>
          <w:p w14:paraId="42BE4B3E"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spacing w:val="-2"/>
              </w:rPr>
              <w:t>Fuente</w:t>
            </w:r>
          </w:p>
        </w:tc>
        <w:tc>
          <w:tcPr>
            <w:tcW w:w="6096" w:type="dxa"/>
            <w:vAlign w:val="center"/>
          </w:tcPr>
          <w:p w14:paraId="195957AD" w14:textId="77777777" w:rsidR="00E04D4C" w:rsidRPr="00E04D4C" w:rsidRDefault="00E04D4C" w:rsidP="00E04D4C">
            <w:pPr>
              <w:pStyle w:val="TableParagraph"/>
              <w:spacing w:before="27" w:line="245" w:lineRule="exact"/>
              <w:ind w:left="142"/>
              <w:jc w:val="center"/>
              <w:rPr>
                <w:rFonts w:ascii="Garamond" w:hAnsi="Garamond"/>
              </w:rPr>
            </w:pPr>
            <w:r w:rsidRPr="00E04D4C">
              <w:rPr>
                <w:rFonts w:ascii="Garamond" w:hAnsi="Garamond"/>
                <w:spacing w:val="-6"/>
              </w:rPr>
              <w:t>1-100-I079</w:t>
            </w:r>
            <w:r w:rsidRPr="00E04D4C">
              <w:rPr>
                <w:rFonts w:ascii="Garamond" w:hAnsi="Garamond"/>
                <w:spacing w:val="7"/>
              </w:rPr>
              <w:t xml:space="preserve"> </w:t>
            </w:r>
            <w:r w:rsidRPr="00E04D4C">
              <w:rPr>
                <w:rFonts w:ascii="Garamond" w:hAnsi="Garamond"/>
                <w:spacing w:val="-6"/>
              </w:rPr>
              <w:t>VA-INGRESOS</w:t>
            </w:r>
            <w:r w:rsidRPr="00E04D4C">
              <w:rPr>
                <w:rFonts w:ascii="Garamond" w:hAnsi="Garamond"/>
                <w:spacing w:val="9"/>
              </w:rPr>
              <w:t xml:space="preserve"> </w:t>
            </w:r>
            <w:r w:rsidRPr="00E04D4C">
              <w:rPr>
                <w:rFonts w:ascii="Garamond" w:hAnsi="Garamond"/>
                <w:spacing w:val="-6"/>
              </w:rPr>
              <w:t>CORRIENTES</w:t>
            </w:r>
            <w:r w:rsidRPr="00E04D4C">
              <w:rPr>
                <w:rFonts w:ascii="Garamond" w:hAnsi="Garamond"/>
                <w:spacing w:val="9"/>
              </w:rPr>
              <w:t xml:space="preserve"> </w:t>
            </w:r>
            <w:r w:rsidRPr="00E04D4C">
              <w:rPr>
                <w:rFonts w:ascii="Garamond" w:hAnsi="Garamond"/>
                <w:spacing w:val="-6"/>
              </w:rPr>
              <w:t>FDL</w:t>
            </w:r>
          </w:p>
        </w:tc>
      </w:tr>
      <w:tr w:rsidR="00E04D4C" w:rsidRPr="00E04D4C" w14:paraId="11659B10" w14:textId="77777777" w:rsidTr="00E04D4C">
        <w:trPr>
          <w:trHeight w:val="256"/>
        </w:trPr>
        <w:tc>
          <w:tcPr>
            <w:tcW w:w="2693" w:type="dxa"/>
            <w:vAlign w:val="center"/>
          </w:tcPr>
          <w:p w14:paraId="7BD9B2F2" w14:textId="77777777" w:rsidR="00E04D4C" w:rsidRPr="00E04D4C" w:rsidRDefault="00E04D4C" w:rsidP="00E04D4C">
            <w:pPr>
              <w:pStyle w:val="TableParagraph"/>
              <w:spacing w:before="27" w:line="243" w:lineRule="exact"/>
              <w:ind w:left="142"/>
              <w:jc w:val="center"/>
              <w:rPr>
                <w:rFonts w:ascii="Garamond" w:hAnsi="Garamond"/>
                <w:b/>
              </w:rPr>
            </w:pPr>
            <w:r w:rsidRPr="00E04D4C">
              <w:rPr>
                <w:rFonts w:ascii="Garamond" w:hAnsi="Garamond"/>
                <w:b/>
                <w:w w:val="90"/>
              </w:rPr>
              <w:t>Valor</w:t>
            </w:r>
            <w:r w:rsidRPr="00E04D4C">
              <w:rPr>
                <w:rFonts w:ascii="Garamond" w:hAnsi="Garamond"/>
                <w:b/>
                <w:spacing w:val="-3"/>
              </w:rPr>
              <w:t xml:space="preserve"> </w:t>
            </w:r>
            <w:r w:rsidRPr="00E04D4C">
              <w:rPr>
                <w:rFonts w:ascii="Garamond" w:hAnsi="Garamond"/>
                <w:b/>
                <w:spacing w:val="-2"/>
              </w:rPr>
              <w:t>contratado</w:t>
            </w:r>
          </w:p>
        </w:tc>
        <w:tc>
          <w:tcPr>
            <w:tcW w:w="6096" w:type="dxa"/>
            <w:vAlign w:val="center"/>
          </w:tcPr>
          <w:p w14:paraId="69B2F4C8" w14:textId="77777777" w:rsidR="00E04D4C" w:rsidRPr="00E04D4C" w:rsidRDefault="00E04D4C" w:rsidP="00E04D4C">
            <w:pPr>
              <w:pStyle w:val="TableParagraph"/>
              <w:spacing w:line="237" w:lineRule="exact"/>
              <w:ind w:left="142"/>
              <w:jc w:val="center"/>
              <w:rPr>
                <w:rFonts w:ascii="Garamond" w:hAnsi="Garamond"/>
              </w:rPr>
            </w:pPr>
            <w:r w:rsidRPr="00E04D4C">
              <w:rPr>
                <w:rFonts w:ascii="Garamond" w:hAnsi="Garamond"/>
                <w:spacing w:val="-2"/>
              </w:rPr>
              <w:t>$5.790.578.000</w:t>
            </w:r>
          </w:p>
        </w:tc>
      </w:tr>
      <w:tr w:rsidR="00E04D4C" w:rsidRPr="00E04D4C" w14:paraId="59E1A708" w14:textId="77777777" w:rsidTr="00E04D4C">
        <w:trPr>
          <w:trHeight w:val="317"/>
        </w:trPr>
        <w:tc>
          <w:tcPr>
            <w:tcW w:w="2693" w:type="dxa"/>
            <w:vAlign w:val="center"/>
          </w:tcPr>
          <w:p w14:paraId="01FA78B4"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rPr>
              <w:t>No.</w:t>
            </w:r>
            <w:r w:rsidRPr="00E04D4C">
              <w:rPr>
                <w:rFonts w:ascii="Garamond" w:hAnsi="Garamond"/>
                <w:b/>
                <w:spacing w:val="23"/>
              </w:rPr>
              <w:t xml:space="preserve"> </w:t>
            </w:r>
            <w:r w:rsidRPr="00E04D4C">
              <w:rPr>
                <w:rFonts w:ascii="Garamond" w:hAnsi="Garamond"/>
                <w:b/>
                <w:spacing w:val="-2"/>
              </w:rPr>
              <w:t>Contrato</w:t>
            </w:r>
          </w:p>
        </w:tc>
        <w:tc>
          <w:tcPr>
            <w:tcW w:w="6096" w:type="dxa"/>
            <w:vAlign w:val="center"/>
          </w:tcPr>
          <w:p w14:paraId="00F5343D" w14:textId="77777777" w:rsidR="00E04D4C" w:rsidRPr="00E04D4C" w:rsidRDefault="00E04D4C" w:rsidP="00E04D4C">
            <w:pPr>
              <w:pStyle w:val="TableParagraph"/>
              <w:spacing w:before="27"/>
              <w:ind w:left="142"/>
              <w:jc w:val="center"/>
              <w:rPr>
                <w:rFonts w:ascii="Garamond" w:hAnsi="Garamond"/>
              </w:rPr>
            </w:pPr>
            <w:r w:rsidRPr="00E04D4C">
              <w:rPr>
                <w:rFonts w:ascii="Garamond" w:hAnsi="Garamond"/>
                <w:spacing w:val="-4"/>
              </w:rPr>
              <w:t>677-2024</w:t>
            </w:r>
          </w:p>
        </w:tc>
      </w:tr>
      <w:tr w:rsidR="00E04D4C" w:rsidRPr="00E04D4C" w14:paraId="686055A6" w14:textId="77777777" w:rsidTr="00E04D4C">
        <w:trPr>
          <w:trHeight w:val="300"/>
        </w:trPr>
        <w:tc>
          <w:tcPr>
            <w:tcW w:w="2693" w:type="dxa"/>
            <w:vAlign w:val="center"/>
          </w:tcPr>
          <w:p w14:paraId="40D1C873"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rPr>
              <w:t>Fecha</w:t>
            </w:r>
            <w:r w:rsidRPr="00E04D4C">
              <w:rPr>
                <w:rFonts w:ascii="Garamond" w:hAnsi="Garamond"/>
                <w:b/>
                <w:spacing w:val="-11"/>
              </w:rPr>
              <w:t xml:space="preserve"> </w:t>
            </w:r>
            <w:r w:rsidRPr="00E04D4C">
              <w:rPr>
                <w:rFonts w:ascii="Garamond" w:hAnsi="Garamond"/>
                <w:b/>
                <w:spacing w:val="-2"/>
              </w:rPr>
              <w:t>inicio</w:t>
            </w:r>
          </w:p>
        </w:tc>
        <w:tc>
          <w:tcPr>
            <w:tcW w:w="6096" w:type="dxa"/>
            <w:vAlign w:val="center"/>
          </w:tcPr>
          <w:p w14:paraId="4B03B5C0" w14:textId="77777777" w:rsidR="00E04D4C" w:rsidRPr="00E04D4C" w:rsidRDefault="00E04D4C" w:rsidP="00E04D4C">
            <w:pPr>
              <w:pStyle w:val="TableParagraph"/>
              <w:spacing w:before="27"/>
              <w:ind w:left="142"/>
              <w:jc w:val="center"/>
              <w:rPr>
                <w:rFonts w:ascii="Garamond" w:hAnsi="Garamond"/>
              </w:rPr>
            </w:pPr>
            <w:r w:rsidRPr="00E04D4C">
              <w:rPr>
                <w:rFonts w:ascii="Garamond" w:hAnsi="Garamond"/>
                <w:w w:val="90"/>
              </w:rPr>
              <w:t>19-09-</w:t>
            </w:r>
            <w:r w:rsidRPr="00E04D4C">
              <w:rPr>
                <w:rFonts w:ascii="Garamond" w:hAnsi="Garamond"/>
                <w:spacing w:val="-4"/>
                <w:w w:val="90"/>
              </w:rPr>
              <w:t>2024</w:t>
            </w:r>
          </w:p>
        </w:tc>
      </w:tr>
      <w:tr w:rsidR="00E04D4C" w:rsidRPr="00E04D4C" w14:paraId="7A7458F1" w14:textId="77777777" w:rsidTr="00E04D4C">
        <w:trPr>
          <w:trHeight w:val="300"/>
        </w:trPr>
        <w:tc>
          <w:tcPr>
            <w:tcW w:w="2693" w:type="dxa"/>
            <w:vAlign w:val="center"/>
          </w:tcPr>
          <w:p w14:paraId="52C2A568" w14:textId="77777777" w:rsidR="00E04D4C" w:rsidRPr="00E04D4C" w:rsidRDefault="00E04D4C" w:rsidP="00E04D4C">
            <w:pPr>
              <w:pStyle w:val="TableParagraph"/>
              <w:spacing w:before="27"/>
              <w:ind w:left="142"/>
              <w:jc w:val="center"/>
              <w:rPr>
                <w:rFonts w:ascii="Garamond" w:hAnsi="Garamond"/>
                <w:b/>
              </w:rPr>
            </w:pPr>
            <w:r w:rsidRPr="00E04D4C">
              <w:rPr>
                <w:rFonts w:ascii="Garamond" w:hAnsi="Garamond"/>
                <w:b/>
                <w:spacing w:val="-2"/>
              </w:rPr>
              <w:t>Fecha</w:t>
            </w:r>
            <w:r w:rsidRPr="00E04D4C">
              <w:rPr>
                <w:rFonts w:ascii="Garamond" w:hAnsi="Garamond"/>
                <w:b/>
                <w:spacing w:val="-10"/>
              </w:rPr>
              <w:t xml:space="preserve"> </w:t>
            </w:r>
            <w:r w:rsidRPr="00E04D4C">
              <w:rPr>
                <w:rFonts w:ascii="Garamond" w:hAnsi="Garamond"/>
                <w:b/>
                <w:spacing w:val="-2"/>
              </w:rPr>
              <w:t>de</w:t>
            </w:r>
            <w:r w:rsidRPr="00E04D4C">
              <w:rPr>
                <w:rFonts w:ascii="Garamond" w:hAnsi="Garamond"/>
                <w:b/>
                <w:spacing w:val="-9"/>
              </w:rPr>
              <w:t xml:space="preserve"> </w:t>
            </w:r>
            <w:r w:rsidRPr="00E04D4C">
              <w:rPr>
                <w:rFonts w:ascii="Garamond" w:hAnsi="Garamond"/>
                <w:b/>
                <w:spacing w:val="-2"/>
              </w:rPr>
              <w:t>terminación</w:t>
            </w:r>
            <w:r w:rsidRPr="00E04D4C">
              <w:rPr>
                <w:rFonts w:ascii="Garamond" w:hAnsi="Garamond"/>
                <w:b/>
                <w:spacing w:val="-9"/>
              </w:rPr>
              <w:t xml:space="preserve"> </w:t>
            </w:r>
            <w:r w:rsidRPr="00E04D4C">
              <w:rPr>
                <w:rFonts w:ascii="Garamond" w:hAnsi="Garamond"/>
                <w:b/>
                <w:spacing w:val="-2"/>
              </w:rPr>
              <w:t>inicial</w:t>
            </w:r>
          </w:p>
        </w:tc>
        <w:tc>
          <w:tcPr>
            <w:tcW w:w="6096" w:type="dxa"/>
            <w:vAlign w:val="center"/>
          </w:tcPr>
          <w:p w14:paraId="10507A66" w14:textId="77777777" w:rsidR="00E04D4C" w:rsidRPr="00E04D4C" w:rsidRDefault="00E04D4C" w:rsidP="00E04D4C">
            <w:pPr>
              <w:pStyle w:val="TableParagraph"/>
              <w:spacing w:before="27"/>
              <w:ind w:left="142"/>
              <w:jc w:val="center"/>
              <w:rPr>
                <w:rFonts w:ascii="Garamond" w:hAnsi="Garamond"/>
              </w:rPr>
            </w:pPr>
            <w:r w:rsidRPr="00E04D4C">
              <w:rPr>
                <w:rFonts w:ascii="Garamond" w:hAnsi="Garamond"/>
                <w:w w:val="90"/>
              </w:rPr>
              <w:t>31-12-</w:t>
            </w:r>
            <w:r w:rsidRPr="00E04D4C">
              <w:rPr>
                <w:rFonts w:ascii="Garamond" w:hAnsi="Garamond"/>
                <w:spacing w:val="-4"/>
                <w:w w:val="90"/>
              </w:rPr>
              <w:t>2031</w:t>
            </w:r>
          </w:p>
        </w:tc>
      </w:tr>
      <w:tr w:rsidR="00E04D4C" w:rsidRPr="00E04D4C" w14:paraId="7C57704F" w14:textId="77777777" w:rsidTr="00E04D4C">
        <w:trPr>
          <w:trHeight w:val="298"/>
        </w:trPr>
        <w:tc>
          <w:tcPr>
            <w:tcW w:w="2693" w:type="dxa"/>
            <w:vAlign w:val="center"/>
          </w:tcPr>
          <w:p w14:paraId="5C85171A" w14:textId="77777777" w:rsidR="00E04D4C" w:rsidRPr="00E04D4C" w:rsidRDefault="00E04D4C" w:rsidP="00E04D4C">
            <w:pPr>
              <w:pStyle w:val="TableParagraph"/>
              <w:spacing w:before="28"/>
              <w:ind w:left="142"/>
              <w:jc w:val="center"/>
              <w:rPr>
                <w:rFonts w:ascii="Garamond" w:hAnsi="Garamond"/>
                <w:b/>
              </w:rPr>
            </w:pPr>
            <w:r w:rsidRPr="00E04D4C">
              <w:rPr>
                <w:rFonts w:ascii="Garamond" w:hAnsi="Garamond"/>
                <w:b/>
                <w:spacing w:val="-4"/>
              </w:rPr>
              <w:t>Plazo contrato inicial</w:t>
            </w:r>
          </w:p>
        </w:tc>
        <w:tc>
          <w:tcPr>
            <w:tcW w:w="6096" w:type="dxa"/>
            <w:vAlign w:val="center"/>
          </w:tcPr>
          <w:p w14:paraId="78D41C87" w14:textId="77777777" w:rsidR="00E04D4C" w:rsidRPr="00E04D4C" w:rsidRDefault="00E04D4C" w:rsidP="00E04D4C">
            <w:pPr>
              <w:pStyle w:val="TableParagraph"/>
              <w:spacing w:before="28"/>
              <w:ind w:left="142"/>
              <w:jc w:val="center"/>
              <w:rPr>
                <w:rFonts w:ascii="Garamond" w:hAnsi="Garamond"/>
              </w:rPr>
            </w:pPr>
            <w:r w:rsidRPr="00E04D4C">
              <w:rPr>
                <w:rFonts w:ascii="Garamond" w:hAnsi="Garamond"/>
              </w:rPr>
              <w:t>Hasta el 31-12-20231</w:t>
            </w:r>
          </w:p>
        </w:tc>
      </w:tr>
      <w:tr w:rsidR="00E04D4C" w:rsidRPr="00E04D4C" w14:paraId="288D403D" w14:textId="77777777" w:rsidTr="00E04D4C">
        <w:trPr>
          <w:trHeight w:val="258"/>
        </w:trPr>
        <w:tc>
          <w:tcPr>
            <w:tcW w:w="2693" w:type="dxa"/>
            <w:vAlign w:val="center"/>
          </w:tcPr>
          <w:p w14:paraId="417C7DE9" w14:textId="77777777" w:rsidR="00E04D4C" w:rsidRPr="00E04D4C" w:rsidRDefault="00E04D4C" w:rsidP="00E04D4C">
            <w:pPr>
              <w:pStyle w:val="TableParagraph"/>
              <w:spacing w:before="27" w:line="245" w:lineRule="exact"/>
              <w:ind w:left="142"/>
              <w:jc w:val="center"/>
              <w:rPr>
                <w:rFonts w:ascii="Garamond" w:hAnsi="Garamond"/>
                <w:b/>
              </w:rPr>
            </w:pPr>
            <w:r w:rsidRPr="00E04D4C">
              <w:rPr>
                <w:rFonts w:ascii="Garamond" w:hAnsi="Garamond"/>
                <w:b/>
                <w:spacing w:val="-8"/>
              </w:rPr>
              <w:t>Valor</w:t>
            </w:r>
            <w:r w:rsidRPr="00E04D4C">
              <w:rPr>
                <w:rFonts w:ascii="Garamond" w:hAnsi="Garamond"/>
                <w:b/>
                <w:spacing w:val="-2"/>
              </w:rPr>
              <w:t xml:space="preserve"> </w:t>
            </w:r>
            <w:r w:rsidRPr="00E04D4C">
              <w:rPr>
                <w:rFonts w:ascii="Garamond" w:hAnsi="Garamond"/>
                <w:b/>
                <w:spacing w:val="-8"/>
              </w:rPr>
              <w:t>total</w:t>
            </w:r>
            <w:r w:rsidRPr="00E04D4C">
              <w:rPr>
                <w:rFonts w:ascii="Garamond" w:hAnsi="Garamond"/>
                <w:b/>
                <w:spacing w:val="-2"/>
              </w:rPr>
              <w:t xml:space="preserve"> </w:t>
            </w:r>
            <w:r w:rsidRPr="00E04D4C">
              <w:rPr>
                <w:rFonts w:ascii="Garamond" w:hAnsi="Garamond"/>
                <w:b/>
                <w:spacing w:val="-8"/>
              </w:rPr>
              <w:t>contrato</w:t>
            </w:r>
          </w:p>
        </w:tc>
        <w:tc>
          <w:tcPr>
            <w:tcW w:w="6096" w:type="dxa"/>
            <w:vAlign w:val="center"/>
          </w:tcPr>
          <w:p w14:paraId="5FF72D2F" w14:textId="77777777" w:rsidR="00E04D4C" w:rsidRPr="00E04D4C" w:rsidRDefault="00E04D4C" w:rsidP="00E04D4C">
            <w:pPr>
              <w:pStyle w:val="TableParagraph"/>
              <w:spacing w:before="27" w:line="245" w:lineRule="exact"/>
              <w:ind w:left="142"/>
              <w:jc w:val="center"/>
              <w:rPr>
                <w:rFonts w:ascii="Garamond" w:hAnsi="Garamond"/>
              </w:rPr>
            </w:pPr>
            <w:r w:rsidRPr="00E04D4C">
              <w:rPr>
                <w:rFonts w:ascii="Garamond" w:hAnsi="Garamond"/>
                <w:spacing w:val="-2"/>
              </w:rPr>
              <w:t>$5.790.578.000</w:t>
            </w:r>
          </w:p>
        </w:tc>
      </w:tr>
    </w:tbl>
    <w:p w14:paraId="1D1F244D" w14:textId="3D4DA9EF" w:rsidR="00E04D4C" w:rsidRDefault="00E04D4C" w:rsidP="00E04D4C">
      <w:pPr>
        <w:spacing w:line="240" w:lineRule="auto"/>
        <w:jc w:val="both"/>
        <w:rPr>
          <w:rFonts w:ascii="Garamond" w:hAnsi="Garamond"/>
          <w:sz w:val="22"/>
          <w:szCs w:val="22"/>
          <w:lang w:val="es-ES_tradnl"/>
        </w:rPr>
      </w:pPr>
    </w:p>
    <w:p w14:paraId="320ACA26" w14:textId="77777777" w:rsidR="008F115A" w:rsidRDefault="008F115A" w:rsidP="008F115A">
      <w:pPr>
        <w:pStyle w:val="Prrafodelista"/>
        <w:numPr>
          <w:ilvl w:val="0"/>
          <w:numId w:val="3"/>
        </w:numPr>
        <w:spacing w:line="240" w:lineRule="auto"/>
        <w:jc w:val="both"/>
        <w:rPr>
          <w:rFonts w:ascii="Garamond" w:hAnsi="Garamond"/>
          <w:sz w:val="22"/>
          <w:szCs w:val="22"/>
          <w:lang w:val="es-ES_tradnl"/>
        </w:rPr>
      </w:pPr>
      <w:r w:rsidRPr="008F115A">
        <w:rPr>
          <w:rFonts w:ascii="Garamond" w:hAnsi="Garamond"/>
          <w:b/>
          <w:bCs/>
          <w:sz w:val="22"/>
          <w:szCs w:val="22"/>
          <w:lang w:val="es-ES_tradnl"/>
        </w:rPr>
        <w:t>Tipo de vigencia futura:</w:t>
      </w:r>
      <w:r>
        <w:rPr>
          <w:rFonts w:ascii="Garamond" w:hAnsi="Garamond"/>
          <w:sz w:val="22"/>
          <w:szCs w:val="22"/>
          <w:lang w:val="es-ES_tradnl"/>
        </w:rPr>
        <w:t xml:space="preserve"> </w:t>
      </w:r>
      <w:r w:rsidRPr="008F115A">
        <w:rPr>
          <w:rFonts w:ascii="Garamond" w:hAnsi="Garamond"/>
          <w:sz w:val="22"/>
          <w:szCs w:val="22"/>
          <w:lang w:val="es-ES_tradnl"/>
        </w:rPr>
        <w:t>Vigencia Futura Ordinaria</w:t>
      </w:r>
    </w:p>
    <w:p w14:paraId="70102849" w14:textId="255BBB71" w:rsidR="008F115A" w:rsidRPr="008F115A" w:rsidRDefault="008F115A" w:rsidP="008F115A">
      <w:pPr>
        <w:pStyle w:val="Prrafodelista"/>
        <w:numPr>
          <w:ilvl w:val="0"/>
          <w:numId w:val="3"/>
        </w:numPr>
        <w:spacing w:line="240" w:lineRule="auto"/>
        <w:jc w:val="both"/>
        <w:rPr>
          <w:rFonts w:ascii="Garamond" w:hAnsi="Garamond"/>
          <w:b/>
          <w:bCs/>
          <w:sz w:val="22"/>
          <w:szCs w:val="22"/>
          <w:lang w:val="es-ES_tradnl"/>
        </w:rPr>
      </w:pPr>
      <w:r w:rsidRPr="008F115A">
        <w:rPr>
          <w:rFonts w:ascii="Garamond" w:hAnsi="Garamond"/>
          <w:b/>
          <w:bCs/>
          <w:sz w:val="22"/>
          <w:szCs w:val="22"/>
          <w:lang w:val="es-ES_tradnl"/>
        </w:rPr>
        <w:t xml:space="preserve">Valor e identificación de la fuente de financiación. </w:t>
      </w:r>
    </w:p>
    <w:p w14:paraId="36E65DE6" w14:textId="0E7A8031" w:rsidR="008F115A" w:rsidRPr="008F115A" w:rsidRDefault="008F115A" w:rsidP="008F115A">
      <w:pPr>
        <w:spacing w:line="240" w:lineRule="auto"/>
        <w:jc w:val="both"/>
        <w:rPr>
          <w:rFonts w:ascii="Garamond" w:hAnsi="Garamond"/>
          <w:sz w:val="22"/>
          <w:szCs w:val="22"/>
          <w:lang w:val="es-ES_tradnl"/>
        </w:rPr>
      </w:pPr>
      <w:r w:rsidRPr="008F115A">
        <w:rPr>
          <w:rFonts w:ascii="Garamond" w:hAnsi="Garamond"/>
          <w:sz w:val="22"/>
          <w:szCs w:val="22"/>
          <w:lang w:val="es-ES_tradnl"/>
        </w:rPr>
        <w:t xml:space="preserve">De acuerdo con el objeto del contrato: </w:t>
      </w:r>
      <w:r>
        <w:rPr>
          <w:rFonts w:ascii="Garamond" w:hAnsi="Garamond"/>
          <w:sz w:val="22"/>
          <w:szCs w:val="22"/>
          <w:lang w:val="es-ES_tradnl"/>
        </w:rPr>
        <w:t>«</w:t>
      </w:r>
      <w:r w:rsidRPr="00E04D4C">
        <w:rPr>
          <w:rFonts w:ascii="Garamond" w:hAnsi="Garamond"/>
          <w:i/>
          <w:iCs/>
          <w:sz w:val="22"/>
          <w:szCs w:val="22"/>
          <w:lang w:val="es-CO"/>
        </w:rPr>
        <w:t>AUNAR ESFUERZOS Y RECURSOS TÉCNICOS, ADMINISTRATIVOS, JURÍDICOS, FINANCIEROS Y HUMANOS ENTRE EL FONDO DE DESARROLLO LOCAL DE SAN CRISTÓBAL Y LA AGENCIA ATENEA, PARA PROMOVER EL ACCESO Y LA PERMANENCIA DE LOS JÓVENES DE LA CIUDAD DE BOGOTÁ A LOS PROGRAMAS DE EDUCACIÓN POSMEDIA</w:t>
      </w:r>
      <w:r>
        <w:rPr>
          <w:rFonts w:ascii="Garamond" w:hAnsi="Garamond"/>
          <w:sz w:val="22"/>
          <w:szCs w:val="22"/>
          <w:lang w:val="es-ES_tradnl"/>
        </w:rPr>
        <w:t>»,</w:t>
      </w:r>
      <w:r w:rsidRPr="008F115A">
        <w:rPr>
          <w:rFonts w:ascii="Garamond" w:hAnsi="Garamond"/>
          <w:sz w:val="22"/>
          <w:szCs w:val="22"/>
          <w:lang w:val="es-ES_tradnl"/>
        </w:rPr>
        <w:t xml:space="preserve"> se relaciona el valor total de la VF solicitada </w:t>
      </w:r>
      <w:r>
        <w:rPr>
          <w:rFonts w:ascii="Garamond" w:hAnsi="Garamond"/>
          <w:sz w:val="22"/>
          <w:szCs w:val="22"/>
          <w:lang w:val="es-ES_tradnl"/>
        </w:rPr>
        <w:t>en pesos</w:t>
      </w:r>
      <w:r w:rsidRPr="008F115A">
        <w:rPr>
          <w:rFonts w:ascii="Garamond" w:hAnsi="Garamond"/>
          <w:sz w:val="22"/>
          <w:szCs w:val="22"/>
          <w:lang w:val="es-ES_tradnl"/>
        </w:rPr>
        <w:t xml:space="preserve"> constantes y corrientes, acorde con el valor del formato CONFIS adjunto a esta solicitud.</w:t>
      </w: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9"/>
        <w:gridCol w:w="1258"/>
        <w:gridCol w:w="1559"/>
        <w:gridCol w:w="2093"/>
        <w:gridCol w:w="1734"/>
      </w:tblGrid>
      <w:tr w:rsidR="008F115A" w:rsidRPr="008F115A" w14:paraId="10207BAD" w14:textId="77777777" w:rsidTr="008F115A">
        <w:trPr>
          <w:trHeight w:val="741"/>
          <w:jc w:val="center"/>
        </w:trPr>
        <w:tc>
          <w:tcPr>
            <w:tcW w:w="1289" w:type="dxa"/>
            <w:shd w:val="clear" w:color="auto" w:fill="D1D1D1"/>
            <w:vAlign w:val="center"/>
          </w:tcPr>
          <w:p w14:paraId="2FB7D52E" w14:textId="77777777" w:rsidR="008F115A" w:rsidRPr="008F115A" w:rsidRDefault="008F115A" w:rsidP="008F115A">
            <w:pPr>
              <w:pStyle w:val="TableParagraph"/>
              <w:spacing w:line="235" w:lineRule="auto"/>
              <w:ind w:left="142" w:right="329"/>
              <w:jc w:val="center"/>
              <w:rPr>
                <w:rFonts w:ascii="Garamond" w:hAnsi="Garamond"/>
                <w:b/>
              </w:rPr>
            </w:pPr>
            <w:r w:rsidRPr="008F115A">
              <w:rPr>
                <w:rFonts w:ascii="Garamond" w:hAnsi="Garamond"/>
                <w:b/>
                <w:spacing w:val="-2"/>
              </w:rPr>
              <w:t>Fecha Inicial</w:t>
            </w:r>
          </w:p>
        </w:tc>
        <w:tc>
          <w:tcPr>
            <w:tcW w:w="1258" w:type="dxa"/>
            <w:shd w:val="clear" w:color="auto" w:fill="D1D1D1"/>
            <w:vAlign w:val="center"/>
          </w:tcPr>
          <w:p w14:paraId="3A7A1ECD" w14:textId="77777777" w:rsidR="008F115A" w:rsidRPr="008F115A" w:rsidRDefault="008F115A" w:rsidP="008F115A">
            <w:pPr>
              <w:pStyle w:val="TableParagraph"/>
              <w:spacing w:line="235" w:lineRule="auto"/>
              <w:ind w:left="142" w:right="2"/>
              <w:jc w:val="center"/>
              <w:rPr>
                <w:rFonts w:ascii="Garamond" w:hAnsi="Garamond"/>
                <w:b/>
              </w:rPr>
            </w:pPr>
            <w:r w:rsidRPr="008F115A">
              <w:rPr>
                <w:rFonts w:ascii="Garamond" w:hAnsi="Garamond"/>
                <w:b/>
                <w:spacing w:val="-4"/>
              </w:rPr>
              <w:t>Fecha Final</w:t>
            </w:r>
          </w:p>
        </w:tc>
        <w:tc>
          <w:tcPr>
            <w:tcW w:w="1559" w:type="dxa"/>
            <w:shd w:val="clear" w:color="auto" w:fill="D1D1D1"/>
            <w:vAlign w:val="center"/>
          </w:tcPr>
          <w:p w14:paraId="79FC772F" w14:textId="77777777" w:rsidR="008F115A" w:rsidRPr="008F115A" w:rsidRDefault="008F115A" w:rsidP="008F115A">
            <w:pPr>
              <w:pStyle w:val="TableParagraph"/>
              <w:spacing w:line="237" w:lineRule="exact"/>
              <w:ind w:left="142"/>
              <w:jc w:val="center"/>
              <w:rPr>
                <w:rFonts w:ascii="Garamond" w:hAnsi="Garamond"/>
                <w:b/>
              </w:rPr>
            </w:pPr>
            <w:r w:rsidRPr="008F115A">
              <w:rPr>
                <w:rFonts w:ascii="Garamond" w:hAnsi="Garamond"/>
                <w:b/>
                <w:spacing w:val="-2"/>
              </w:rPr>
              <w:t>Producto</w:t>
            </w:r>
          </w:p>
        </w:tc>
        <w:tc>
          <w:tcPr>
            <w:tcW w:w="2093" w:type="dxa"/>
            <w:shd w:val="clear" w:color="auto" w:fill="D1D1D1"/>
            <w:vAlign w:val="center"/>
          </w:tcPr>
          <w:p w14:paraId="657548AC" w14:textId="77777777" w:rsidR="008F115A" w:rsidRPr="008F115A" w:rsidRDefault="008F115A" w:rsidP="008F115A">
            <w:pPr>
              <w:pStyle w:val="TableParagraph"/>
              <w:spacing w:line="234" w:lineRule="exact"/>
              <w:ind w:left="142" w:right="5"/>
              <w:jc w:val="center"/>
              <w:rPr>
                <w:rFonts w:ascii="Garamond" w:hAnsi="Garamond"/>
                <w:b/>
              </w:rPr>
            </w:pPr>
            <w:r w:rsidRPr="008F115A">
              <w:rPr>
                <w:rFonts w:ascii="Garamond" w:hAnsi="Garamond"/>
                <w:b/>
                <w:spacing w:val="-7"/>
              </w:rPr>
              <w:t>Valor</w:t>
            </w:r>
            <w:r w:rsidRPr="008F115A">
              <w:rPr>
                <w:rFonts w:ascii="Garamond" w:hAnsi="Garamond"/>
                <w:b/>
                <w:spacing w:val="-5"/>
              </w:rPr>
              <w:t xml:space="preserve"> </w:t>
            </w:r>
            <w:r w:rsidRPr="008F115A">
              <w:rPr>
                <w:rFonts w:ascii="Garamond" w:hAnsi="Garamond"/>
                <w:b/>
                <w:spacing w:val="-2"/>
              </w:rPr>
              <w:t>Total</w:t>
            </w:r>
          </w:p>
          <w:p w14:paraId="5F71DF66" w14:textId="77777777" w:rsidR="008F115A" w:rsidRPr="008F115A" w:rsidRDefault="008F115A" w:rsidP="008F115A">
            <w:pPr>
              <w:pStyle w:val="TableParagraph"/>
              <w:spacing w:line="248" w:lineRule="exact"/>
              <w:ind w:left="142"/>
              <w:jc w:val="center"/>
              <w:rPr>
                <w:rFonts w:ascii="Garamond" w:hAnsi="Garamond"/>
                <w:b/>
              </w:rPr>
            </w:pPr>
            <w:r w:rsidRPr="008F115A">
              <w:rPr>
                <w:rFonts w:ascii="Garamond" w:hAnsi="Garamond"/>
                <w:b/>
                <w:spacing w:val="-2"/>
              </w:rPr>
              <w:t>Pesos Constantes</w:t>
            </w:r>
          </w:p>
        </w:tc>
        <w:tc>
          <w:tcPr>
            <w:tcW w:w="1734" w:type="dxa"/>
            <w:shd w:val="clear" w:color="auto" w:fill="D1D1D1"/>
            <w:vAlign w:val="center"/>
          </w:tcPr>
          <w:p w14:paraId="2E9441FE" w14:textId="77777777" w:rsidR="008F115A" w:rsidRPr="008F115A" w:rsidRDefault="008F115A" w:rsidP="008F115A">
            <w:pPr>
              <w:pStyle w:val="TableParagraph"/>
              <w:spacing w:line="234" w:lineRule="exact"/>
              <w:ind w:left="142" w:right="2"/>
              <w:jc w:val="center"/>
              <w:rPr>
                <w:rFonts w:ascii="Garamond" w:hAnsi="Garamond"/>
                <w:b/>
              </w:rPr>
            </w:pPr>
            <w:r w:rsidRPr="008F115A">
              <w:rPr>
                <w:rFonts w:ascii="Garamond" w:hAnsi="Garamond"/>
                <w:b/>
                <w:spacing w:val="-7"/>
              </w:rPr>
              <w:t>Valor</w:t>
            </w:r>
            <w:r w:rsidRPr="008F115A">
              <w:rPr>
                <w:rFonts w:ascii="Garamond" w:hAnsi="Garamond"/>
                <w:b/>
                <w:spacing w:val="-5"/>
              </w:rPr>
              <w:t xml:space="preserve"> </w:t>
            </w:r>
            <w:r w:rsidRPr="008F115A">
              <w:rPr>
                <w:rFonts w:ascii="Garamond" w:hAnsi="Garamond"/>
                <w:b/>
                <w:spacing w:val="-2"/>
              </w:rPr>
              <w:t>Total</w:t>
            </w:r>
          </w:p>
          <w:p w14:paraId="08B4835F" w14:textId="77777777" w:rsidR="008F115A" w:rsidRPr="008F115A" w:rsidRDefault="008F115A" w:rsidP="008F115A">
            <w:pPr>
              <w:pStyle w:val="TableParagraph"/>
              <w:spacing w:line="248" w:lineRule="exact"/>
              <w:ind w:left="142" w:right="170"/>
              <w:jc w:val="center"/>
              <w:rPr>
                <w:rFonts w:ascii="Garamond" w:hAnsi="Garamond"/>
                <w:b/>
              </w:rPr>
            </w:pPr>
            <w:r w:rsidRPr="008F115A">
              <w:rPr>
                <w:rFonts w:ascii="Garamond" w:hAnsi="Garamond"/>
                <w:b/>
                <w:spacing w:val="-2"/>
              </w:rPr>
              <w:t xml:space="preserve">Pesos </w:t>
            </w:r>
            <w:r w:rsidRPr="008F115A">
              <w:rPr>
                <w:rFonts w:ascii="Garamond" w:hAnsi="Garamond"/>
                <w:b/>
                <w:spacing w:val="-6"/>
              </w:rPr>
              <w:t>Corrientes</w:t>
            </w:r>
          </w:p>
        </w:tc>
      </w:tr>
      <w:tr w:rsidR="008F115A" w:rsidRPr="008F115A" w14:paraId="18FC9603" w14:textId="77777777" w:rsidTr="008F115A">
        <w:trPr>
          <w:trHeight w:val="199"/>
          <w:jc w:val="center"/>
        </w:trPr>
        <w:tc>
          <w:tcPr>
            <w:tcW w:w="1289" w:type="dxa"/>
            <w:vAlign w:val="center"/>
          </w:tcPr>
          <w:p w14:paraId="1F41DD08" w14:textId="4EED0D6E" w:rsidR="008F115A" w:rsidRPr="008F115A" w:rsidRDefault="00BF70E1" w:rsidP="008F115A">
            <w:pPr>
              <w:pStyle w:val="TableParagraph"/>
              <w:spacing w:line="234" w:lineRule="exact"/>
              <w:ind w:left="0"/>
              <w:jc w:val="center"/>
              <w:rPr>
                <w:rFonts w:ascii="Garamond" w:hAnsi="Garamond"/>
                <w:sz w:val="20"/>
                <w:szCs w:val="20"/>
              </w:rPr>
            </w:pPr>
            <w:r>
              <w:rPr>
                <w:rFonts w:ascii="Garamond" w:hAnsi="Garamond"/>
                <w:sz w:val="20"/>
                <w:szCs w:val="20"/>
              </w:rPr>
              <w:t>1/08/2026</w:t>
            </w:r>
          </w:p>
        </w:tc>
        <w:tc>
          <w:tcPr>
            <w:tcW w:w="1258" w:type="dxa"/>
            <w:vAlign w:val="center"/>
          </w:tcPr>
          <w:p w14:paraId="0E734589" w14:textId="0E17AB5F" w:rsidR="008F115A" w:rsidRPr="008F115A" w:rsidRDefault="005E64C3" w:rsidP="00BF70E1">
            <w:pPr>
              <w:pStyle w:val="TableParagraph"/>
              <w:spacing w:line="234" w:lineRule="exact"/>
              <w:ind w:left="0"/>
              <w:rPr>
                <w:rFonts w:ascii="Garamond" w:hAnsi="Garamond"/>
                <w:sz w:val="20"/>
                <w:szCs w:val="20"/>
              </w:rPr>
            </w:pPr>
            <w:r>
              <w:rPr>
                <w:rFonts w:ascii="Garamond" w:hAnsi="Garamond"/>
                <w:sz w:val="20"/>
                <w:szCs w:val="20"/>
              </w:rPr>
              <w:t>1/08/2040</w:t>
            </w:r>
          </w:p>
        </w:tc>
        <w:tc>
          <w:tcPr>
            <w:tcW w:w="1559" w:type="dxa"/>
            <w:vAlign w:val="center"/>
          </w:tcPr>
          <w:p w14:paraId="738453C5" w14:textId="47FDAC83" w:rsidR="008F115A" w:rsidRPr="008F115A" w:rsidRDefault="003262BC" w:rsidP="008F115A">
            <w:pPr>
              <w:pStyle w:val="TableParagraph"/>
              <w:spacing w:line="237" w:lineRule="auto"/>
              <w:ind w:left="142"/>
              <w:jc w:val="center"/>
              <w:rPr>
                <w:rFonts w:ascii="Garamond" w:hAnsi="Garamond"/>
              </w:rPr>
            </w:pPr>
            <w:r w:rsidRPr="00E04D4C">
              <w:rPr>
                <w:rFonts w:ascii="Garamond" w:eastAsiaTheme="minorHAnsi" w:hAnsi="Garamond"/>
                <w:lang w:val="es-CO"/>
              </w:rPr>
              <w:t>O230117459920242615</w:t>
            </w:r>
          </w:p>
        </w:tc>
        <w:tc>
          <w:tcPr>
            <w:tcW w:w="2093" w:type="dxa"/>
            <w:vAlign w:val="center"/>
          </w:tcPr>
          <w:p w14:paraId="171FDA6D" w14:textId="73D7677E" w:rsidR="008F115A" w:rsidRPr="008F115A" w:rsidRDefault="00554D36" w:rsidP="008F115A">
            <w:pPr>
              <w:pStyle w:val="TableParagraph"/>
              <w:spacing w:before="231"/>
              <w:ind w:left="0" w:right="2"/>
              <w:jc w:val="center"/>
              <w:rPr>
                <w:rFonts w:ascii="Garamond" w:hAnsi="Garamond"/>
              </w:rPr>
            </w:pPr>
            <w:r w:rsidRPr="00BB4745">
              <w:rPr>
                <w:rFonts w:ascii="Garamond" w:hAnsi="Garamond"/>
                <w:b/>
                <w:highlight w:val="yellow"/>
              </w:rPr>
              <w:t>$</w:t>
            </w:r>
            <w:r w:rsidR="00BF70E1">
              <w:rPr>
                <w:rFonts w:ascii="Garamond" w:hAnsi="Garamond"/>
                <w:b/>
              </w:rPr>
              <w:t>9.409.616.166</w:t>
            </w:r>
            <w:r w:rsidR="008F115A">
              <w:rPr>
                <w:rFonts w:ascii="Garamond" w:hAnsi="Garamond"/>
              </w:rPr>
              <w:t>COP.</w:t>
            </w:r>
          </w:p>
        </w:tc>
        <w:tc>
          <w:tcPr>
            <w:tcW w:w="1734" w:type="dxa"/>
            <w:vAlign w:val="center"/>
          </w:tcPr>
          <w:p w14:paraId="3C0B4FAE" w14:textId="65544BD5" w:rsidR="008F115A" w:rsidRPr="008F115A" w:rsidRDefault="008F115A" w:rsidP="008F115A">
            <w:pPr>
              <w:pStyle w:val="TableParagraph"/>
              <w:spacing w:before="231"/>
              <w:ind w:left="0"/>
              <w:jc w:val="center"/>
              <w:rPr>
                <w:rFonts w:ascii="Garamond" w:hAnsi="Garamond"/>
              </w:rPr>
            </w:pPr>
            <w:r w:rsidRPr="008F115A">
              <w:rPr>
                <w:rFonts w:ascii="Garamond" w:hAnsi="Garamond"/>
              </w:rPr>
              <w:t>$</w:t>
            </w:r>
            <w:r w:rsidR="00554D36">
              <w:rPr>
                <w:rFonts w:ascii="Garamond" w:eastAsia="Garamond" w:hAnsi="Garamond" w:cs="Garamond"/>
                <w:b/>
                <w:highlight w:val="yellow"/>
              </w:rPr>
              <w:t>9.997.199.648</w:t>
            </w:r>
            <w:r>
              <w:rPr>
                <w:rFonts w:ascii="Garamond" w:hAnsi="Garamond"/>
              </w:rPr>
              <w:t>COP.</w:t>
            </w:r>
          </w:p>
        </w:tc>
      </w:tr>
    </w:tbl>
    <w:p w14:paraId="1A7524F4" w14:textId="0C949F10" w:rsidR="008F115A" w:rsidRPr="008F115A" w:rsidRDefault="008F115A" w:rsidP="008F115A">
      <w:pPr>
        <w:spacing w:line="240" w:lineRule="auto"/>
        <w:jc w:val="both"/>
        <w:rPr>
          <w:rFonts w:ascii="Garamond" w:hAnsi="Garamond"/>
          <w:sz w:val="22"/>
          <w:szCs w:val="22"/>
          <w:lang w:val="es-ES_tradnl"/>
        </w:rPr>
      </w:pPr>
    </w:p>
    <w:p w14:paraId="1B176FCC" w14:textId="1752F3FD" w:rsidR="008F115A" w:rsidRPr="008F115A" w:rsidRDefault="008F115A" w:rsidP="008F115A">
      <w:pPr>
        <w:pStyle w:val="Prrafodelista"/>
        <w:numPr>
          <w:ilvl w:val="0"/>
          <w:numId w:val="3"/>
        </w:numPr>
        <w:spacing w:line="240" w:lineRule="auto"/>
        <w:jc w:val="both"/>
        <w:rPr>
          <w:rFonts w:ascii="Garamond" w:hAnsi="Garamond"/>
          <w:b/>
          <w:bCs/>
          <w:sz w:val="22"/>
          <w:szCs w:val="22"/>
          <w:lang w:val="es-ES_tradnl"/>
        </w:rPr>
      </w:pPr>
      <w:r w:rsidRPr="008F115A">
        <w:rPr>
          <w:rFonts w:ascii="Garamond" w:hAnsi="Garamond"/>
          <w:b/>
          <w:bCs/>
          <w:sz w:val="22"/>
          <w:szCs w:val="22"/>
          <w:lang w:val="es-ES_tradnl"/>
        </w:rPr>
        <w:t>Beneficios obtenidos con las contrataciones</w:t>
      </w:r>
    </w:p>
    <w:p w14:paraId="6D289FB3" w14:textId="77777777" w:rsidR="008F115A" w:rsidRPr="008F115A" w:rsidRDefault="008F115A" w:rsidP="008F115A">
      <w:pPr>
        <w:spacing w:line="240" w:lineRule="auto"/>
        <w:jc w:val="both"/>
        <w:rPr>
          <w:rFonts w:ascii="Garamond" w:hAnsi="Garamond"/>
          <w:sz w:val="22"/>
          <w:szCs w:val="22"/>
          <w:lang w:val="es-ES_tradnl"/>
        </w:rPr>
      </w:pPr>
      <w:r w:rsidRPr="008F115A">
        <w:rPr>
          <w:rFonts w:ascii="Garamond" w:hAnsi="Garamond"/>
          <w:sz w:val="22"/>
          <w:szCs w:val="22"/>
          <w:lang w:val="es-ES_tradnl"/>
        </w:rPr>
        <w:t>Algunos de los beneficios obtenidos con la autorización de vigencias futuras son:</w:t>
      </w:r>
    </w:p>
    <w:p w14:paraId="1BA0B3E3" w14:textId="77777777" w:rsidR="008F115A" w:rsidRDefault="008F115A" w:rsidP="008F115A">
      <w:pPr>
        <w:pStyle w:val="Prrafodelista"/>
        <w:numPr>
          <w:ilvl w:val="0"/>
          <w:numId w:val="4"/>
        </w:numPr>
        <w:spacing w:line="240" w:lineRule="auto"/>
        <w:jc w:val="both"/>
        <w:rPr>
          <w:rFonts w:ascii="Garamond" w:hAnsi="Garamond"/>
          <w:sz w:val="22"/>
          <w:szCs w:val="22"/>
          <w:lang w:val="es-ES_tradnl"/>
        </w:rPr>
      </w:pPr>
      <w:r w:rsidRPr="008F115A">
        <w:rPr>
          <w:rFonts w:ascii="Garamond" w:hAnsi="Garamond"/>
          <w:sz w:val="22"/>
          <w:szCs w:val="22"/>
          <w:lang w:val="es-ES_tradnl"/>
        </w:rPr>
        <w:t>Se asegura que la localidad de San Cristóbal cubra la meta de cada concepto de gasto de acuerdo con el monto individual de cada componente.</w:t>
      </w:r>
    </w:p>
    <w:p w14:paraId="146AFF37" w14:textId="77777777" w:rsidR="008F115A" w:rsidRDefault="008F115A" w:rsidP="008F115A">
      <w:pPr>
        <w:pStyle w:val="Prrafodelista"/>
        <w:numPr>
          <w:ilvl w:val="0"/>
          <w:numId w:val="4"/>
        </w:numPr>
        <w:spacing w:line="240" w:lineRule="auto"/>
        <w:jc w:val="both"/>
        <w:rPr>
          <w:rFonts w:ascii="Garamond" w:hAnsi="Garamond"/>
          <w:sz w:val="22"/>
          <w:szCs w:val="22"/>
          <w:lang w:val="es-ES_tradnl"/>
        </w:rPr>
      </w:pPr>
      <w:r w:rsidRPr="008F115A">
        <w:rPr>
          <w:rFonts w:ascii="Garamond" w:hAnsi="Garamond"/>
          <w:sz w:val="22"/>
          <w:szCs w:val="22"/>
          <w:lang w:val="es-ES_tradnl"/>
        </w:rPr>
        <w:t>Optimizar la contratación en estas vigencias, se disminuirá el desgaste administrativo, evitando el uso de recursos cada año para iniciar nuevos procesos</w:t>
      </w:r>
      <w:r>
        <w:rPr>
          <w:rFonts w:ascii="Garamond" w:hAnsi="Garamond"/>
          <w:sz w:val="22"/>
          <w:szCs w:val="22"/>
          <w:lang w:val="es-ES_tradnl"/>
        </w:rPr>
        <w:t>.</w:t>
      </w:r>
    </w:p>
    <w:p w14:paraId="342409AA" w14:textId="6169017D" w:rsidR="008F115A" w:rsidRPr="008F115A" w:rsidRDefault="008F115A" w:rsidP="008F115A">
      <w:pPr>
        <w:pStyle w:val="Prrafodelista"/>
        <w:numPr>
          <w:ilvl w:val="0"/>
          <w:numId w:val="4"/>
        </w:numPr>
        <w:spacing w:line="240" w:lineRule="auto"/>
        <w:jc w:val="both"/>
        <w:rPr>
          <w:rFonts w:ascii="Garamond" w:hAnsi="Garamond"/>
          <w:sz w:val="22"/>
          <w:szCs w:val="22"/>
          <w:lang w:val="es-ES_tradnl"/>
        </w:rPr>
      </w:pPr>
      <w:r w:rsidRPr="008F115A">
        <w:rPr>
          <w:rFonts w:ascii="Garamond" w:hAnsi="Garamond"/>
          <w:sz w:val="22"/>
          <w:szCs w:val="22"/>
          <w:lang w:val="es-ES_tradnl"/>
        </w:rPr>
        <w:t xml:space="preserve">Con la aprobación de las vigencias futuras solicitadas, se mejorará la eficiencia y eficacia del proceso de contratación. </w:t>
      </w:r>
    </w:p>
    <w:p w14:paraId="5205F4F0" w14:textId="77777777" w:rsidR="008F115A" w:rsidRPr="008F115A" w:rsidRDefault="008F115A" w:rsidP="00B940F0">
      <w:pPr>
        <w:spacing w:line="240" w:lineRule="auto"/>
        <w:rPr>
          <w:rFonts w:ascii="Garamond" w:hAnsi="Garamond"/>
          <w:sz w:val="22"/>
          <w:szCs w:val="22"/>
          <w:lang w:val="es-ES_tradnl"/>
        </w:rPr>
      </w:pPr>
    </w:p>
    <w:p w14:paraId="6EC6A533" w14:textId="55D47070" w:rsidR="008F115A" w:rsidRDefault="008F115A" w:rsidP="00BF70E1">
      <w:pPr>
        <w:spacing w:line="240" w:lineRule="auto"/>
        <w:jc w:val="center"/>
        <w:rPr>
          <w:rFonts w:ascii="Garamond" w:hAnsi="Garamond"/>
          <w:b/>
          <w:bCs/>
          <w:sz w:val="22"/>
          <w:szCs w:val="22"/>
          <w:lang w:val="es-ES_tradnl"/>
        </w:rPr>
      </w:pPr>
      <w:r w:rsidRPr="008F115A">
        <w:rPr>
          <w:rFonts w:ascii="Garamond" w:hAnsi="Garamond"/>
          <w:b/>
          <w:bCs/>
          <w:sz w:val="22"/>
          <w:szCs w:val="22"/>
          <w:lang w:val="es-ES_tradnl"/>
        </w:rPr>
        <w:t>CARLOS HERNANDO MACIAS MONTOYA</w:t>
      </w:r>
      <w:r>
        <w:rPr>
          <w:rFonts w:ascii="Garamond" w:hAnsi="Garamond"/>
          <w:b/>
          <w:bCs/>
          <w:sz w:val="22"/>
          <w:szCs w:val="22"/>
          <w:lang w:val="es-ES_tradnl"/>
        </w:rPr>
        <w:br/>
      </w:r>
      <w:proofErr w:type="gramStart"/>
      <w:r w:rsidRPr="008F115A">
        <w:rPr>
          <w:rFonts w:ascii="Garamond" w:hAnsi="Garamond"/>
          <w:b/>
          <w:bCs/>
          <w:sz w:val="22"/>
          <w:szCs w:val="22"/>
          <w:lang w:val="es-ES_tradnl"/>
        </w:rPr>
        <w:t>Alcalde</w:t>
      </w:r>
      <w:proofErr w:type="gramEnd"/>
      <w:r w:rsidRPr="008F115A">
        <w:rPr>
          <w:rFonts w:ascii="Garamond" w:hAnsi="Garamond"/>
          <w:b/>
          <w:bCs/>
          <w:sz w:val="22"/>
          <w:szCs w:val="22"/>
          <w:lang w:val="es-ES_tradnl"/>
        </w:rPr>
        <w:t xml:space="preserve"> Local de San Cristóbal</w:t>
      </w:r>
    </w:p>
    <w:p w14:paraId="3155E843" w14:textId="77777777" w:rsidR="008F115A" w:rsidRDefault="008F115A" w:rsidP="008F115A">
      <w:pPr>
        <w:spacing w:line="240" w:lineRule="auto"/>
        <w:ind w:left="720" w:hanging="720"/>
        <w:rPr>
          <w:rFonts w:ascii="Garamond" w:hAnsi="Garamond"/>
          <w:sz w:val="16"/>
          <w:szCs w:val="16"/>
          <w:lang w:val="es-ES_tradnl"/>
        </w:rPr>
      </w:pPr>
      <w:r w:rsidRPr="008F115A">
        <w:rPr>
          <w:rFonts w:ascii="Garamond" w:hAnsi="Garamond"/>
          <w:sz w:val="16"/>
          <w:szCs w:val="16"/>
          <w:lang w:val="es-ES_tradnl"/>
        </w:rPr>
        <w:t xml:space="preserve">Proyectó: </w:t>
      </w:r>
      <w:r w:rsidRPr="008F115A">
        <w:rPr>
          <w:rFonts w:ascii="Garamond" w:hAnsi="Garamond"/>
          <w:sz w:val="16"/>
          <w:szCs w:val="16"/>
          <w:lang w:val="es-ES_tradnl"/>
        </w:rPr>
        <w:tab/>
        <w:t>Juan Sebastián Rivera Reino</w:t>
      </w:r>
      <w:r>
        <w:rPr>
          <w:rFonts w:ascii="Garamond" w:hAnsi="Garamond"/>
          <w:sz w:val="16"/>
          <w:szCs w:val="16"/>
          <w:lang w:val="es-ES_tradnl"/>
        </w:rPr>
        <w:br/>
      </w:r>
      <w:r w:rsidRPr="008F115A">
        <w:rPr>
          <w:rFonts w:ascii="Garamond" w:hAnsi="Garamond"/>
          <w:sz w:val="16"/>
          <w:szCs w:val="16"/>
          <w:lang w:val="es-ES_tradnl"/>
        </w:rPr>
        <w:t>Lina Marcela Casa Diego Merchán</w:t>
      </w:r>
      <w:r>
        <w:rPr>
          <w:rFonts w:ascii="Garamond" w:hAnsi="Garamond"/>
          <w:sz w:val="16"/>
          <w:szCs w:val="16"/>
          <w:lang w:val="es-ES_tradnl"/>
        </w:rPr>
        <w:br/>
      </w:r>
      <w:r w:rsidRPr="008F115A">
        <w:rPr>
          <w:rFonts w:ascii="Garamond" w:hAnsi="Garamond"/>
          <w:sz w:val="16"/>
          <w:szCs w:val="16"/>
          <w:lang w:val="es-ES_tradnl"/>
        </w:rPr>
        <w:t>Jaime Andrés Jiménez</w:t>
      </w:r>
      <w:r>
        <w:rPr>
          <w:rFonts w:ascii="Garamond" w:hAnsi="Garamond"/>
          <w:sz w:val="16"/>
          <w:szCs w:val="16"/>
          <w:lang w:val="es-ES_tradnl"/>
        </w:rPr>
        <w:br/>
      </w:r>
      <w:r w:rsidRPr="008F115A">
        <w:rPr>
          <w:rFonts w:ascii="Garamond" w:hAnsi="Garamond"/>
          <w:sz w:val="16"/>
          <w:szCs w:val="16"/>
          <w:lang w:val="es-ES_tradnl"/>
        </w:rPr>
        <w:t xml:space="preserve">Liz Johana García Hernández </w:t>
      </w:r>
    </w:p>
    <w:p w14:paraId="6513CEF6" w14:textId="60871323" w:rsidR="008F115A" w:rsidRDefault="008F115A" w:rsidP="008F115A">
      <w:pPr>
        <w:spacing w:line="240" w:lineRule="auto"/>
        <w:ind w:left="720" w:hanging="720"/>
        <w:rPr>
          <w:rFonts w:ascii="Garamond" w:hAnsi="Garamond"/>
          <w:sz w:val="16"/>
          <w:szCs w:val="16"/>
          <w:lang w:val="es-ES_tradnl"/>
        </w:rPr>
      </w:pPr>
      <w:r w:rsidRPr="008F115A">
        <w:rPr>
          <w:rFonts w:ascii="Garamond" w:hAnsi="Garamond"/>
          <w:sz w:val="16"/>
          <w:szCs w:val="16"/>
          <w:lang w:val="es-ES_tradnl"/>
        </w:rPr>
        <w:t xml:space="preserve">Revisó: </w:t>
      </w:r>
      <w:r w:rsidR="00B940F0">
        <w:rPr>
          <w:rFonts w:ascii="Garamond" w:hAnsi="Garamond"/>
          <w:sz w:val="16"/>
          <w:szCs w:val="16"/>
          <w:lang w:val="es-ES_tradnl"/>
        </w:rPr>
        <w:t xml:space="preserve">      Miguel </w:t>
      </w:r>
    </w:p>
    <w:p w14:paraId="4E69D4A7" w14:textId="763B87EC" w:rsidR="008F115A" w:rsidRPr="008F115A" w:rsidRDefault="008F115A" w:rsidP="008F115A">
      <w:pPr>
        <w:spacing w:line="240" w:lineRule="auto"/>
        <w:ind w:left="720" w:hanging="720"/>
        <w:rPr>
          <w:rFonts w:ascii="Garamond" w:hAnsi="Garamond"/>
          <w:sz w:val="16"/>
          <w:szCs w:val="16"/>
          <w:lang w:val="es-ES_tradnl"/>
        </w:rPr>
      </w:pPr>
      <w:r w:rsidRPr="008F115A">
        <w:rPr>
          <w:rFonts w:ascii="Garamond" w:hAnsi="Garamond"/>
          <w:sz w:val="16"/>
          <w:szCs w:val="16"/>
          <w:lang w:val="es-ES_tradnl"/>
        </w:rPr>
        <w:t xml:space="preserve">Aprobó: </w:t>
      </w:r>
      <w:r w:rsidRPr="008F115A">
        <w:rPr>
          <w:rFonts w:ascii="Garamond" w:hAnsi="Garamond"/>
          <w:sz w:val="16"/>
          <w:szCs w:val="16"/>
          <w:lang w:val="es-ES_tradnl"/>
        </w:rPr>
        <w:tab/>
      </w:r>
      <w:r w:rsidR="00B940F0">
        <w:rPr>
          <w:rFonts w:ascii="Garamond" w:hAnsi="Garamond"/>
          <w:sz w:val="16"/>
          <w:szCs w:val="16"/>
          <w:lang w:val="es-ES_tradnl"/>
        </w:rPr>
        <w:t>Esthefany Chaverra Mosquera</w:t>
      </w:r>
    </w:p>
    <w:sectPr w:rsidR="008F115A" w:rsidRPr="008F11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Narrow">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C557E"/>
    <w:multiLevelType w:val="hybridMultilevel"/>
    <w:tmpl w:val="6F0A4254"/>
    <w:lvl w:ilvl="0" w:tplc="094634E4">
      <w:numFmt w:val="bullet"/>
      <w:lvlText w:val="-"/>
      <w:lvlJc w:val="left"/>
      <w:pPr>
        <w:ind w:left="720" w:hanging="360"/>
      </w:pPr>
      <w:rPr>
        <w:rFonts w:ascii="Aptos Narrow" w:eastAsia="Calibri" w:hAnsi="Aptos Narrow"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5564400"/>
    <w:multiLevelType w:val="hybridMultilevel"/>
    <w:tmpl w:val="0EAE7714"/>
    <w:lvl w:ilvl="0" w:tplc="B3788F0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08217BE"/>
    <w:multiLevelType w:val="hybridMultilevel"/>
    <w:tmpl w:val="F3EEA5D4"/>
    <w:lvl w:ilvl="0" w:tplc="094634E4">
      <w:numFmt w:val="bullet"/>
      <w:lvlText w:val="-"/>
      <w:lvlJc w:val="left"/>
      <w:pPr>
        <w:ind w:left="720" w:hanging="360"/>
      </w:pPr>
      <w:rPr>
        <w:rFonts w:ascii="Aptos Narrow" w:eastAsia="Calibri" w:hAnsi="Aptos Narrow"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E47746F"/>
    <w:multiLevelType w:val="hybridMultilevel"/>
    <w:tmpl w:val="653C37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9874224">
    <w:abstractNumId w:val="2"/>
  </w:num>
  <w:num w:numId="2" w16cid:durableId="862864953">
    <w:abstractNumId w:val="3"/>
  </w:num>
  <w:num w:numId="3" w16cid:durableId="2107843658">
    <w:abstractNumId w:val="1"/>
  </w:num>
  <w:num w:numId="4" w16cid:durableId="1157648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A4"/>
    <w:rsid w:val="001D6B62"/>
    <w:rsid w:val="003262BC"/>
    <w:rsid w:val="00443104"/>
    <w:rsid w:val="004A7C26"/>
    <w:rsid w:val="00554D36"/>
    <w:rsid w:val="005E64C3"/>
    <w:rsid w:val="0060674A"/>
    <w:rsid w:val="00712B79"/>
    <w:rsid w:val="00890C02"/>
    <w:rsid w:val="008A582B"/>
    <w:rsid w:val="008B7317"/>
    <w:rsid w:val="008F115A"/>
    <w:rsid w:val="009E61E4"/>
    <w:rsid w:val="00B83ED6"/>
    <w:rsid w:val="00B940F0"/>
    <w:rsid w:val="00BF70E1"/>
    <w:rsid w:val="00D268A4"/>
    <w:rsid w:val="00D74670"/>
    <w:rsid w:val="00E04D4C"/>
    <w:rsid w:val="00EC708D"/>
    <w:rsid w:val="00F55C68"/>
    <w:rsid w:val="00F61AF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9D05"/>
  <w15:chartTrackingRefBased/>
  <w15:docId w15:val="{2D1FD6A3-4EEE-D941-9C96-94EA53F3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26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26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268A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268A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268A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268A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268A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268A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268A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268A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268A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268A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268A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268A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268A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268A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268A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268A4"/>
    <w:rPr>
      <w:rFonts w:eastAsiaTheme="majorEastAsia" w:cstheme="majorBidi"/>
      <w:color w:val="272727" w:themeColor="text1" w:themeTint="D8"/>
    </w:rPr>
  </w:style>
  <w:style w:type="paragraph" w:styleId="Ttulo">
    <w:name w:val="Title"/>
    <w:basedOn w:val="Normal"/>
    <w:next w:val="Normal"/>
    <w:link w:val="TtuloCar"/>
    <w:uiPriority w:val="10"/>
    <w:qFormat/>
    <w:rsid w:val="00D268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268A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268A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268A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268A4"/>
    <w:pPr>
      <w:spacing w:before="160"/>
      <w:jc w:val="center"/>
    </w:pPr>
    <w:rPr>
      <w:i/>
      <w:iCs/>
      <w:color w:val="404040" w:themeColor="text1" w:themeTint="BF"/>
    </w:rPr>
  </w:style>
  <w:style w:type="character" w:customStyle="1" w:styleId="CitaCar">
    <w:name w:val="Cita Car"/>
    <w:basedOn w:val="Fuentedeprrafopredeter"/>
    <w:link w:val="Cita"/>
    <w:uiPriority w:val="29"/>
    <w:rsid w:val="00D268A4"/>
    <w:rPr>
      <w:i/>
      <w:iCs/>
      <w:color w:val="404040" w:themeColor="text1" w:themeTint="BF"/>
    </w:rPr>
  </w:style>
  <w:style w:type="paragraph" w:styleId="Prrafodelista">
    <w:name w:val="List Paragraph"/>
    <w:basedOn w:val="Normal"/>
    <w:uiPriority w:val="34"/>
    <w:qFormat/>
    <w:rsid w:val="00D268A4"/>
    <w:pPr>
      <w:ind w:left="720"/>
      <w:contextualSpacing/>
    </w:pPr>
  </w:style>
  <w:style w:type="character" w:styleId="nfasisintenso">
    <w:name w:val="Intense Emphasis"/>
    <w:basedOn w:val="Fuentedeprrafopredeter"/>
    <w:uiPriority w:val="21"/>
    <w:qFormat/>
    <w:rsid w:val="00D268A4"/>
    <w:rPr>
      <w:i/>
      <w:iCs/>
      <w:color w:val="0F4761" w:themeColor="accent1" w:themeShade="BF"/>
    </w:rPr>
  </w:style>
  <w:style w:type="paragraph" w:styleId="Citadestacada">
    <w:name w:val="Intense Quote"/>
    <w:basedOn w:val="Normal"/>
    <w:next w:val="Normal"/>
    <w:link w:val="CitadestacadaCar"/>
    <w:uiPriority w:val="30"/>
    <w:qFormat/>
    <w:rsid w:val="00D26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268A4"/>
    <w:rPr>
      <w:i/>
      <w:iCs/>
      <w:color w:val="0F4761" w:themeColor="accent1" w:themeShade="BF"/>
    </w:rPr>
  </w:style>
  <w:style w:type="character" w:styleId="Referenciaintensa">
    <w:name w:val="Intense Reference"/>
    <w:basedOn w:val="Fuentedeprrafopredeter"/>
    <w:uiPriority w:val="32"/>
    <w:qFormat/>
    <w:rsid w:val="00D268A4"/>
    <w:rPr>
      <w:b/>
      <w:bCs/>
      <w:smallCaps/>
      <w:color w:val="0F4761" w:themeColor="accent1" w:themeShade="BF"/>
      <w:spacing w:val="5"/>
    </w:rPr>
  </w:style>
  <w:style w:type="paragraph" w:customStyle="1" w:styleId="Default">
    <w:name w:val="Default"/>
    <w:rsid w:val="004A7C26"/>
    <w:pPr>
      <w:autoSpaceDE w:val="0"/>
      <w:autoSpaceDN w:val="0"/>
      <w:adjustRightInd w:val="0"/>
      <w:spacing w:after="0" w:line="240" w:lineRule="auto"/>
    </w:pPr>
    <w:rPr>
      <w:rFonts w:ascii="Tahoma" w:eastAsia="Times New Roman" w:hAnsi="Tahoma" w:cs="Tahoma"/>
      <w:color w:val="000000"/>
      <w:kern w:val="0"/>
      <w:lang w:val="es-ES" w:eastAsia="es-ES"/>
      <w14:ligatures w14:val="none"/>
    </w:rPr>
  </w:style>
  <w:style w:type="table" w:styleId="Tablaconcuadrcula">
    <w:name w:val="Table Grid"/>
    <w:basedOn w:val="Tablanormal"/>
    <w:uiPriority w:val="39"/>
    <w:rsid w:val="004A7C26"/>
    <w:pPr>
      <w:spacing w:after="0" w:line="240" w:lineRule="auto"/>
    </w:pPr>
    <w:rPr>
      <w:rFonts w:ascii="Times New Roman" w:eastAsia="Times New Roman" w:hAnsi="Times New Roman" w:cs="Times New Roman"/>
      <w:kern w:val="0"/>
      <w:sz w:val="20"/>
      <w:szCs w:val="20"/>
      <w:lang w:val="es-CO"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04D4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04D4C"/>
    <w:pPr>
      <w:widowControl w:val="0"/>
      <w:autoSpaceDE w:val="0"/>
      <w:autoSpaceDN w:val="0"/>
      <w:spacing w:after="0" w:line="240" w:lineRule="auto"/>
      <w:ind w:left="4"/>
    </w:pPr>
    <w:rPr>
      <w:rFonts w:ascii="Times New Roman" w:eastAsia="Times New Roman" w:hAnsi="Times New Roman" w:cs="Times New Roman"/>
      <w:kern w:val="0"/>
      <w:sz w:val="22"/>
      <w:szCs w:val="22"/>
      <w:lang w:val="es-ES"/>
      <w14:ligatures w14:val="none"/>
    </w:rPr>
  </w:style>
  <w:style w:type="paragraph" w:customStyle="1" w:styleId="Normal0">
    <w:name w:val="Normal0"/>
    <w:qFormat/>
    <w:rsid w:val="00E04D4C"/>
    <w:pPr>
      <w:spacing w:line="259" w:lineRule="auto"/>
    </w:pPr>
    <w:rPr>
      <w:rFonts w:ascii="Calibri" w:eastAsia="Calibri" w:hAnsi="Calibri" w:cs="Calibri"/>
      <w:kern w:val="0"/>
      <w:sz w:val="22"/>
      <w:szCs w:val="22"/>
      <w:lang w:val="es-ES"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10</Pages>
  <Words>6660</Words>
  <Characters>37897</Characters>
  <Application>Microsoft Office Word</Application>
  <DocSecurity>0</DocSecurity>
  <Lines>583</Lines>
  <Paragraphs>189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Sebastian Rivera Reino</dc:creator>
  <cp:keywords/>
  <dc:description/>
  <cp:lastModifiedBy>Esthefany Chaverra Mosquera</cp:lastModifiedBy>
  <cp:revision>6</cp:revision>
  <dcterms:created xsi:type="dcterms:W3CDTF">2026-03-26T20:09:00Z</dcterms:created>
  <dcterms:modified xsi:type="dcterms:W3CDTF">2026-04-04T18:29:00Z</dcterms:modified>
</cp:coreProperties>
</file>